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0"/>
        <w:jc w:val="right"/>
        <w:keepLines/>
        <w:keepNext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 к Документации о закупке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rFonts w:eastAsia="Calibri"/>
          <w:b/>
          <w:bCs/>
          <w:iCs/>
          <w:color w:val="000000" w:themeColor="text1"/>
          <w:sz w:val="24"/>
          <w:szCs w:val="24"/>
          <w14:ligatures w14:val="none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bCs/>
          <w:iCs/>
          <w:color w:val="000000" w:themeColor="text1"/>
          <w:sz w:val="24"/>
          <w:szCs w:val="24"/>
          <w14:ligatures w14:val="none"/>
        </w:rPr>
      </w:r>
      <w:r>
        <w:rPr>
          <w:rFonts w:eastAsia="Calibri"/>
          <w:b/>
          <w:bCs/>
          <w:iCs/>
          <w:color w:val="000000" w:themeColor="text1"/>
          <w:sz w:val="24"/>
          <w:szCs w:val="24"/>
          <w14:ligatures w14:val="none"/>
        </w:rPr>
      </w:r>
    </w:p>
    <w:p>
      <w:pPr>
        <w:pStyle w:val="960"/>
        <w:jc w:val="center"/>
        <w:rPr>
          <w:b/>
          <w:bCs/>
          <w:i/>
          <w:sz w:val="24"/>
          <w:szCs w:val="24"/>
          <w14:ligatures w14:val="none"/>
        </w:rPr>
      </w:pPr>
      <w:r>
        <w:rPr>
          <w:rFonts w:eastAsia="Calibri"/>
          <w:b/>
          <w:sz w:val="24"/>
          <w:szCs w:val="24"/>
        </w:rPr>
        <w:br/>
      </w:r>
      <w:r>
        <w:rPr>
          <w:b/>
          <w:bCs/>
          <w:i/>
          <w:iCs/>
          <w:sz w:val="24"/>
          <w:szCs w:val="24"/>
          <w:lang w:eastAsia="en-US"/>
        </w:rPr>
        <w:t xml:space="preserve">ОКПД2</w:t>
      </w:r>
      <w:r>
        <w:rPr>
          <w:rFonts w:eastAsia="Times New Roman" w:cs="Times New Roman"/>
          <w:b/>
          <w:bCs/>
          <w:i/>
          <w:iCs/>
          <w:color w:val="auto"/>
          <w:sz w:val="24"/>
          <w:szCs w:val="24"/>
          <w:lang w:val="ru-RU" w:eastAsia="en-US" w:bidi="ar-SA"/>
        </w:rPr>
        <w:t xml:space="preserve"> 43.99.90.190 В</w:t>
      </w:r>
      <w:r>
        <w:rPr>
          <w:b/>
          <w:bCs/>
          <w:i/>
          <w:iCs/>
          <w:sz w:val="24"/>
          <w:szCs w:val="24"/>
          <w:lang w:eastAsia="en-US"/>
        </w:rPr>
        <w:t xml:space="preserve">ыполнение работ по техническому перевооружению системы питательных электронасосов (ПЭН) с заменой насосов типа АПЭ на НЦСП - 1 шт., ТЭЦ в г. Советская Гавань, в рамках реализации инвестиционного проекта (Q_505-ТЭЦСов.Гавань-36)</w:t>
      </w:r>
      <w:r>
        <w:rPr>
          <w:b/>
          <w:bCs/>
          <w:i/>
          <w:sz w:val="24"/>
          <w:szCs w:val="24"/>
          <w14:ligatures w14:val="none"/>
        </w:rPr>
      </w:r>
      <w:r>
        <w:rPr>
          <w:b/>
          <w:bCs/>
          <w:i/>
          <w:sz w:val="24"/>
          <w:szCs w:val="24"/>
          <w14:ligatures w14:val="none"/>
        </w:rPr>
      </w:r>
    </w:p>
    <w:p>
      <w:pPr>
        <w:pStyle w:val="960"/>
        <w:jc w:val="center"/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96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0"/>
        <w:jc w:val="center"/>
        <w:keepLines/>
        <w:keepNext/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</w:rPr>
      </w:r>
      <w:r>
        <w:rPr>
          <w:rFonts w:eastAsia="Calibri"/>
          <w:b/>
          <w:bCs/>
          <w:i/>
          <w:iCs/>
          <w:sz w:val="24"/>
          <w:szCs w:val="24"/>
          <w:shd w:val="clear" w:color="auto" w:fill="auto"/>
        </w:rPr>
        <w:t xml:space="preserve">ЛОТ № </w:t>
      </w:r>
      <w:r>
        <w:rPr>
          <w:rFonts w:eastAsia="Calibri"/>
          <w:b/>
          <w:bCs/>
          <w:i/>
          <w:iCs/>
          <w:sz w:val="24"/>
          <w:szCs w:val="24"/>
          <w:shd w:val="clear" w:color="auto" w:fill="auto"/>
          <w:lang w:eastAsia="en-US"/>
        </w:rPr>
        <w:t xml:space="preserve">22132003-ТПИР ОБСЛ-2026-ДГК-СГТЭЦ</w:t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p>
      <w:pPr>
        <w:pStyle w:val="960"/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60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60"/>
        <w:jc w:val="center"/>
        <w:rPr>
          <w:sz w:val="24"/>
          <w:szCs w:val="24"/>
          <w:highlight w:val="none"/>
          <w:shd w:val="clear" w:color="auto" w:fill="auto"/>
        </w:rPr>
      </w:pPr>
      <w:r>
        <w:rPr>
          <w:b/>
          <w:sz w:val="24"/>
          <w:szCs w:val="24"/>
          <w:shd w:val="clear" w:color="auto" w:fill="auto"/>
        </w:rPr>
        <w:t xml:space="preserve">СОДЕРЖАНИЕ</w:t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1061"/>
            <w:tabs>
              <w:tab w:val="left" w:pos="567" w:leader="none"/>
              <w:tab w:val="right" w:pos="9911" w:leader="dot"/>
            </w:tabs>
            <w:rPr>
              <w:caps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Style w:val="1013"/>
              <w:vanish w:val="0"/>
              <w:sz w:val="24"/>
              <w:szCs w:val="24"/>
              <w:shd w:val="clear" w:color="auto" w:fill="auto"/>
            </w:rPr>
            <w:instrText xml:space="preserve"> TOC \z \o "1-4" \u \h</w:instrText>
          </w:r>
          <w:r>
            <w:rPr>
              <w:rStyle w:val="1013"/>
              <w:vanish w:val="0"/>
              <w:sz w:val="24"/>
              <w:szCs w:val="24"/>
              <w:shd w:val="clear" w:color="auto" w:fill="auto"/>
            </w:rPr>
            <w:fldChar w:fldCharType="separate"/>
          </w:r>
          <w:r>
            <w:rPr>
              <w:sz w:val="24"/>
              <w:szCs w:val="24"/>
            </w:rPr>
          </w:r>
          <w:hyperlink w:tooltip="#_Toc1" w:anchor="_Toc1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Общие сведения</w:t>
            </w:r>
            <w:r>
              <w:rPr>
                <w:rStyle w:val="974"/>
                <w:caps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 \h</w:instrText>
              <w:fldChar w:fldCharType="separate"/>
              <w:t xml:space="preserve">3</w:t>
              <w:fldChar w:fldCharType="end"/>
            </w:r>
          </w:hyperlink>
          <w:r>
            <w:rPr>
              <w:caps/>
              <w:sz w:val="24"/>
              <w:szCs w:val="24"/>
            </w:rPr>
          </w:r>
          <w:r>
            <w:rPr>
              <w:caps/>
              <w:sz w:val="24"/>
              <w:szCs w:val="24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2" w:anchor="_Toc2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Обозначения и сокращения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_Toc2 \h</w:instrText>
              <w:fldChar w:fldCharType="separate"/>
              <w:t xml:space="preserve">3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3" w:anchor="_Toc3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_Toc3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4" w:anchor="_Toc4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Цель использования закупаемой продукции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 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_Toc4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" w:anchor="_Toc5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_Toc5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6" w:anchor="_Toc6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rFonts w:eastAsia="Calibri" w:cs="Times New Roman"/>
                <w:sz w:val="24"/>
                <w:szCs w:val="24"/>
                <w:shd w:val="clear" w:color="auto" w:fill="auto"/>
                <w:lang w:bidi="ar-SA"/>
              </w:rPr>
              <w:t xml:space="preserve">Информация в отношении исполнения договора, </w:t>
            </w:r>
            <w:r>
              <w:rPr>
                <w:rStyle w:val="974"/>
                <w:rFonts w:eastAsia="Calibri" w:cs="Times New Roman"/>
                <w:sz w:val="24"/>
                <w:szCs w:val="24"/>
                <w:shd w:val="clear" w:color="auto" w:fill="auto"/>
                <w:lang w:bidi="ar-SA"/>
              </w:rPr>
              <w:t xml:space="preserve">которая должна быть учтена при подготовке заявки </w:t>
            </w:r>
            <w:r>
              <w:rPr>
                <w:rStyle w:val="974"/>
                <w:rFonts w:eastAsia="Calibri" w:cs="Times New Roman"/>
                <w:sz w:val="24"/>
                <w:szCs w:val="24"/>
                <w:shd w:val="clear" w:color="auto" w:fill="auto"/>
                <w:lang w:bidi="ar-SA"/>
              </w:rPr>
              <w:t xml:space="preserve">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_Toc6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left" w:pos="567" w:leader="none"/>
              <w:tab w:val="right" w:pos="9911" w:leader="dot"/>
            </w:tabs>
            <w:rPr>
              <w:caps/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7" w:anchor="_Toc7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Требования к продукции</w:t>
            </w:r>
            <w:r>
              <w:rPr>
                <w:rStyle w:val="974"/>
                <w:caps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_Toc7 \h</w:instrText>
              <w:fldChar w:fldCharType="separate"/>
              <w:t xml:space="preserve">4</w:t>
              <w:fldChar w:fldCharType="end"/>
            </w:r>
          </w:hyperlink>
          <w:r>
            <w:rPr>
              <w:caps/>
              <w:sz w:val="24"/>
              <w:szCs w:val="24"/>
            </w:rPr>
          </w:r>
          <w:r>
            <w:rPr>
              <w:caps/>
              <w:sz w:val="24"/>
              <w:szCs w:val="24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8" w:anchor="_Toc8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Требования к объемам и срокам выполнения работ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_Toc8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tabs>
              <w:tab w:val="left" w:pos="1134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9" w:anchor="_Toc9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Требования к видам и объемам работ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_Toc9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0" w:anchor="_Toc10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Таблица 2.</w:t>
            </w:r>
            <w:r>
              <w:rPr>
                <w:rStyle w:val="974"/>
                <w:sz w:val="24"/>
                <w:szCs w:val="24"/>
              </w:rPr>
              <w:t xml:space="preserve"> О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бъем</w:t>
            </w:r>
            <w:r>
              <w:rPr>
                <w:rStyle w:val="974"/>
                <w:sz w:val="24"/>
                <w:szCs w:val="24"/>
              </w:rPr>
              <w:t xml:space="preserve"> </w:t>
            </w:r>
            <w:r>
              <w:rPr>
                <w:rStyle w:val="974"/>
                <w:sz w:val="24"/>
                <w:szCs w:val="24"/>
              </w:rPr>
              <w:t xml:space="preserve">выполняемых работ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_Toc10 \h</w:instrText>
              <w:fldChar w:fldCharType="separate"/>
              <w:t xml:space="preserve">4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1" w:anchor="_Toc11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Таблица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2.1.</w:t>
            </w:r>
            <w:r>
              <w:rPr>
                <w:rStyle w:val="974"/>
                <w:sz w:val="24"/>
                <w:szCs w:val="24"/>
              </w:rPr>
              <w:t xml:space="preserve">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Перечень  выполняемых работ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_Toc11 \h</w:instrText>
              <w:fldChar w:fldCharType="separate"/>
              <w:t xml:space="preserve">5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tabs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2" w:anchor="_Toc12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2.1.2.</w:t>
            </w:r>
            <w:r>
              <w:rPr>
                <w:rStyle w:val="974"/>
                <w:sz w:val="24"/>
                <w:szCs w:val="24"/>
              </w:rPr>
              <w:t xml:space="preserve">Требования </w:t>
            </w:r>
            <w:r>
              <w:rPr>
                <w:rStyle w:val="974"/>
                <w:sz w:val="24"/>
                <w:szCs w:val="24"/>
              </w:rPr>
              <w:t xml:space="preserve">к срокам выполнения работ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_Toc12 \h</w:instrText>
              <w:fldChar w:fldCharType="separate"/>
              <w:t xml:space="preserve">6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right" w:pos="9911" w:leader="dot"/>
            </w:tabs>
            <w:rPr>
              <w:rStyle w:val="1002"/>
              <w:i w:val="0"/>
              <w:sz w:val="24"/>
              <w:szCs w:val="24"/>
              <w:shd w:val="clear" w:color="auto" w:fill="auto"/>
            </w:rPr>
          </w:pPr>
          <w:r>
            <w:rPr>
              <w:sz w:val="24"/>
              <w:szCs w:val="24"/>
            </w:rPr>
          </w:r>
          <w:hyperlink w:tooltip="#_Toc13" w:anchor="_Toc13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Таблица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3.</w:t>
            </w:r>
            <w:r>
              <w:rPr>
                <w:rStyle w:val="974"/>
                <w:sz w:val="24"/>
                <w:szCs w:val="24"/>
              </w:rPr>
              <w:t xml:space="preserve"> </w:t>
            </w:r>
            <w:r>
              <w:rPr>
                <w:rStyle w:val="974"/>
                <w:sz w:val="24"/>
                <w:szCs w:val="24"/>
              </w:rPr>
              <w:t xml:space="preserve">Требования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по срокам выполнения работ</w:t>
            </w:r>
            <w:r>
              <w:rPr>
                <w:rStyle w:val="974"/>
                <w:i w:val="0"/>
                <w:sz w:val="24"/>
                <w:szCs w:val="24"/>
                <w:shd w:val="clear" w:color="auto" w:fill="auto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_Toc13 \h</w:instrText>
              <w:fldChar w:fldCharType="separate"/>
              <w:t xml:space="preserve">6</w:t>
              <w:fldChar w:fldCharType="end"/>
            </w:r>
          </w:hyperlink>
          <w:r>
            <w:rPr>
              <w:rStyle w:val="1002"/>
              <w:i w:val="0"/>
              <w:sz w:val="24"/>
              <w:szCs w:val="24"/>
              <w:shd w:val="clear" w:color="auto" w:fill="auto"/>
            </w:rPr>
          </w:r>
          <w:r>
            <w:rPr>
              <w:rStyle w:val="1002"/>
              <w:i w:val="0"/>
              <w:sz w:val="24"/>
              <w:szCs w:val="24"/>
              <w:shd w:val="clear" w:color="auto" w:fill="auto"/>
            </w:rPr>
          </w:r>
        </w:p>
        <w:p>
          <w:pPr>
            <w:pStyle w:val="1072"/>
            <w:tabs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" w:anchor="_Toc14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Требования к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качеству продукции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_Toc14 \h</w:instrText>
              <w:fldChar w:fldCharType="separate"/>
              <w:t xml:space="preserve">7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5" w:anchor="_Toc15" w:history="1"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</w:rPr>
              <w:t xml:space="preserve">Таблица 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4</w:t>
            </w:r>
            <w:r>
              <w:rPr>
                <w:rStyle w:val="974"/>
                <w:sz w:val="24"/>
                <w:szCs w:val="24"/>
              </w:rPr>
              <w:t xml:space="preserve">. Требования к 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качеству продукции</w:t>
            </w:r>
            <w:r>
              <w:rPr>
                <w:rStyle w:val="974"/>
                <w:sz w:val="24"/>
                <w:szCs w:val="24"/>
              </w:rPr>
              <w:t xml:space="preserve"> 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_Toc15 \h</w:instrText>
              <w:fldChar w:fldCharType="separate"/>
              <w:t xml:space="preserve">7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2"/>
            <w:tabs>
              <w:tab w:val="left" w:pos="1134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24" w:anchor="_Toc24" w:history="1">
            <w:r>
              <w:rPr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left" w:pos="56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25" w:anchor="_Toc25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  <w:lang w:val="ru-RU"/>
              </w:rPr>
              <w:t xml:space="preserve">Требования к документации по ценообразованию</w:t>
            </w:r>
            <w:r>
              <w:rPr>
                <w:rStyle w:val="974"/>
                <w:sz w:val="24"/>
                <w:szCs w:val="24"/>
                <w:lang w:val="ru-RU"/>
              </w:rPr>
              <w:t xml:space="preserve"> на этапе закупки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_Toc25 \h</w:instrText>
              <w:fldChar w:fldCharType="separate"/>
              <w:t xml:space="preserve">20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left" w:pos="567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26" w:anchor="_Toc26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sz w:val="24"/>
                <w:szCs w:val="24"/>
                <w:lang w:val="ru-RU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Style w:val="974"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_Toc26 \h</w:instrText>
              <w:fldChar w:fldCharType="separate"/>
              <w:t xml:space="preserve">21</w:t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61"/>
            <w:tabs>
              <w:tab w:val="left" w:pos="567" w:leader="none"/>
              <w:tab w:val="right" w:pos="9911" w:leader="dot"/>
            </w:tabs>
            <w:rPr>
              <w:iCs/>
              <w:caps/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27" w:anchor="_Toc27" w:history="1"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  <w:tab/>
            </w:r>
            <w:r>
              <w:rPr>
                <w:rStyle w:val="974"/>
                <w:sz w:val="24"/>
                <w:szCs w:val="24"/>
              </w:rPr>
            </w:r>
            <w:r>
              <w:rPr>
                <w:rStyle w:val="974"/>
                <w:iCs/>
                <w:sz w:val="24"/>
                <w:szCs w:val="24"/>
              </w:rPr>
              <w:t xml:space="preserve">Приложения</w:t>
            </w:r>
            <w:r>
              <w:rPr>
                <w:rStyle w:val="974"/>
                <w:iCs/>
                <w:caps/>
                <w:sz w:val="24"/>
                <w:szCs w:val="24"/>
              </w:rPr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  <w:instrText xml:space="preserve">PAGEREF _Toc27 \h</w:instrText>
              <w:fldChar w:fldCharType="separate"/>
              <w:t xml:space="preserve">22</w:t>
              <w:fldChar w:fldCharType="end"/>
            </w:r>
          </w:hyperlink>
          <w:r>
            <w:rPr>
              <w:iCs/>
              <w:caps/>
              <w:sz w:val="24"/>
              <w:szCs w:val="24"/>
            </w:rPr>
          </w:r>
          <w:r>
            <w:rPr>
              <w:iCs/>
              <w:caps/>
              <w:sz w:val="24"/>
              <w:szCs w:val="24"/>
            </w:rPr>
          </w:r>
        </w:p>
        <w:p>
          <w:pPr>
            <w:pStyle w:val="1061"/>
            <w:tabs>
              <w:tab w:val="left" w:pos="560" w:leader="none"/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rStyle w:val="1013"/>
              <w:vanish w:val="0"/>
              <w:sz w:val="24"/>
              <w:szCs w:val="24"/>
              <w:shd w:val="clear" w:color="auto" w:fill="auto"/>
            </w:rPr>
          </w:r>
          <w:r>
            <w:rPr>
              <w:rStyle w:val="1013"/>
              <w:vanish w:val="0"/>
              <w:sz w:val="24"/>
              <w:szCs w:val="24"/>
              <w:shd w:val="clear" w:color="auto" w:fill="auto"/>
            </w:rPr>
            <w:fldChar w:fldCharType="end"/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</w:sdtContent>
    </w:sdt>
    <w:p>
      <w:pPr>
        <w:pStyle w:val="1061"/>
        <w:tabs>
          <w:tab w:val="clear" w:pos="720" w:leader="none"/>
          <w:tab w:val="right" w:pos="9911" w:leader="dot"/>
        </w:tabs>
        <w:rPr>
          <w:rFonts w:eastAsia="Calibri"/>
          <w:b/>
          <w:i/>
          <w:sz w:val="24"/>
          <w:szCs w:val="24"/>
          <w:highlight w:val="none"/>
          <w:shd w:val="clear" w:color="auto" w:fill="auto"/>
        </w:rPr>
      </w:pPr>
      <w:r>
        <w:rPr>
          <w:rFonts w:eastAsia="Calibri"/>
          <w:b/>
          <w:i/>
          <w:sz w:val="24"/>
          <w:szCs w:val="24"/>
          <w:shd w:val="clear" w:color="auto" w:fill="auto"/>
        </w:rPr>
      </w:r>
      <w:r>
        <w:rPr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  <w:highlight w:val="none"/>
          <w:shd w:val="clear" w:color="auto" w:fill="auto"/>
        </w:rPr>
      </w:r>
      <w:r>
        <w:rPr>
          <w:rFonts w:eastAsia="Calibri"/>
          <w:b/>
          <w:i/>
          <w:sz w:val="24"/>
          <w:szCs w:val="24"/>
          <w:highlight w:val="none"/>
          <w:shd w:val="clear" w:color="auto" w:fill="auto"/>
        </w:rPr>
      </w:r>
    </w:p>
    <w:p>
      <w:pPr>
        <w:pStyle w:val="961"/>
        <w:numPr>
          <w:ilvl w:val="0"/>
          <w:numId w:val="3"/>
        </w:numPr>
        <w:ind w:left="0" w:firstLine="0"/>
        <w:jc w:val="center"/>
        <w:rPr>
          <w:caps/>
          <w:sz w:val="24"/>
          <w:szCs w:val="24"/>
        </w:rPr>
      </w:pPr>
      <w:r>
        <w:rPr>
          <w:sz w:val="24"/>
          <w:szCs w:val="24"/>
        </w:rPr>
      </w:r>
      <w:bookmarkStart w:id="103" w:name="_Toc1"/>
      <w:r>
        <w:rPr>
          <w:sz w:val="24"/>
          <w:szCs w:val="24"/>
        </w:rPr>
        <w:t xml:space="preserve">Общие сведения</w:t>
      </w:r>
      <w:r>
        <w:rPr>
          <w:caps/>
          <w:sz w:val="24"/>
          <w:szCs w:val="24"/>
        </w:rPr>
      </w:r>
      <w:bookmarkEnd w:id="103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964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</w:r>
      <w:bookmarkStart w:id="104" w:name="_Toc2"/>
      <w:r>
        <w:rPr>
          <w:sz w:val="24"/>
          <w:szCs w:val="24"/>
        </w:rPr>
        <w:t xml:space="preserve">Обозначения и сокращения</w:t>
      </w:r>
      <w:r>
        <w:rPr>
          <w:sz w:val="24"/>
          <w:szCs w:val="24"/>
        </w:rPr>
      </w:r>
      <w:bookmarkEnd w:id="10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rPr>
          <w:rStyle w:val="1002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02"/>
          <w:b w:val="0"/>
          <w:bCs/>
          <w:iCs/>
          <w:sz w:val="24"/>
          <w:szCs w:val="24"/>
        </w:rPr>
      </w:r>
      <w:r>
        <w:rPr>
          <w:rStyle w:val="1002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60"/>
              <w:jc w:val="both"/>
              <w:spacing w:before="60" w:beforeAutospacing="0" w:after="60" w:afterAutospacing="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ГКПЗ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годовая комплексная программа закупок;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ГОСТ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государственный стандарт;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rStyle w:val="1002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ЗИП</w:t>
            </w:r>
            <w:r>
              <w:rPr>
                <w:rStyle w:val="1002"/>
                <w:b w:val="0"/>
                <w:bCs/>
                <w:iCs/>
                <w:sz w:val="24"/>
                <w:szCs w:val="24"/>
              </w:rPr>
            </w:r>
            <w:r>
              <w:rPr>
                <w:rStyle w:val="1002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rStyle w:val="1002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запасные части, инструмент и принадлежности;</w:t>
            </w:r>
            <w:r>
              <w:rPr>
                <w:rStyle w:val="1002"/>
                <w:b w:val="0"/>
                <w:bCs/>
                <w:iCs/>
                <w:sz w:val="24"/>
                <w:szCs w:val="24"/>
              </w:rPr>
            </w:r>
            <w:r>
              <w:rPr>
                <w:rStyle w:val="1002"/>
                <w:b w:val="0"/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‍</w:t>
            </w:r>
            <w:r>
              <w:rPr>
                <w:iCs/>
                <w:sz w:val="24"/>
                <w:szCs w:val="24"/>
              </w:rPr>
              <w:t xml:space="preserve">КПД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60"/>
              <w:jc w:val="both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Коэффициент полезного действия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pStyle w:val="960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4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</w:r>
      <w:bookmarkStart w:id="105" w:name="_Toc3"/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</w:r>
      <w:bookmarkEnd w:id="10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spacing w:before="120" w:after="120"/>
        <w:widowControl w:val="off"/>
        <w:tabs>
          <w:tab w:val="left" w:pos="426" w:leader="none"/>
          <w:tab w:val="clear" w:pos="720" w:leader="none"/>
        </w:tabs>
        <w:rPr>
          <w:rStyle w:val="1002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«Техническое перевооружение системы питательных электронасосов (ПЭН) с</w:t>
      </w:r>
      <w:r>
        <w:rPr>
          <w:rFonts w:eastAsia="Calibri"/>
          <w:i/>
          <w:sz w:val="24"/>
          <w:szCs w:val="24"/>
        </w:rPr>
        <w:br w:type="textWrapping" w:clear="all"/>
      </w:r>
      <w:r>
        <w:rPr>
          <w:rFonts w:eastAsia="Calibri"/>
          <w:i/>
          <w:sz w:val="24"/>
          <w:szCs w:val="24"/>
        </w:rPr>
        <w:t xml:space="preserve">заменой насосов типа АПЭ на НЦСП - 1 шт., ТЭЦ в г. Советская Гавань.»</w:t>
      </w:r>
      <w:r>
        <w:rPr>
          <w:rFonts w:eastAsia="Calibri"/>
          <w:i/>
          <w:sz w:val="24"/>
          <w:szCs w:val="24"/>
        </w:rPr>
        <w:br/>
      </w:r>
      <w:r>
        <w:rPr>
          <w:rStyle w:val="1002"/>
          <w:b w:val="0"/>
          <w:bCs/>
          <w:sz w:val="24"/>
          <w:szCs w:val="24"/>
        </w:rPr>
      </w:r>
      <w:r>
        <w:rPr>
          <w:rStyle w:val="1002"/>
          <w:b w:val="0"/>
          <w:bCs/>
          <w:sz w:val="24"/>
          <w:szCs w:val="24"/>
        </w:rPr>
      </w:r>
    </w:p>
    <w:p>
      <w:pPr>
        <w:pStyle w:val="964"/>
        <w:numPr>
          <w:ilvl w:val="1"/>
          <w:numId w:val="3"/>
        </w:numPr>
        <w:ind w:left="431" w:hanging="431"/>
        <w:spacing w:before="240" w:after="60"/>
        <w:rPr>
          <w:sz w:val="24"/>
          <w:szCs w:val="24"/>
        </w:rPr>
      </w:pPr>
      <w:r>
        <w:rPr>
          <w:sz w:val="24"/>
          <w:szCs w:val="24"/>
        </w:rPr>
      </w:r>
      <w:bookmarkStart w:id="106" w:name="_Toc4"/>
      <w:r>
        <w:rPr>
          <w:sz w:val="24"/>
          <w:szCs w:val="24"/>
        </w:rPr>
        <w:t xml:space="preserve">Цель использования закупаемой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</w:r>
      <w:bookmarkEnd w:id="1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rPr>
          <w:sz w:val="24"/>
          <w:szCs w:val="24"/>
        </w:rPr>
      </w:pPr>
      <w:r>
        <w:rPr>
          <w:rStyle w:val="1002"/>
          <w:b w:val="0"/>
          <w:bCs/>
          <w:sz w:val="24"/>
          <w:szCs w:val="24"/>
          <w:shd w:val="clear" w:color="auto" w:fill="auto"/>
        </w:rPr>
        <w:t xml:space="preserve">Замена питательных насосов типа АПЭ импортного производства на питательные насосы НЦСП, производства РФ. Повышение надежности работы основного оборудования.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bookmarkStart w:id="107" w:name="_Toc5"/>
      <w:r>
        <w:rPr>
          <w:sz w:val="24"/>
          <w:szCs w:val="24"/>
        </w:rPr>
        <w:t xml:space="preserve">Таблица 1. Перечень объектов заказчика</w:t>
      </w:r>
      <w:r>
        <w:rPr>
          <w:sz w:val="24"/>
          <w:szCs w:val="24"/>
        </w:rPr>
      </w:r>
      <w:bookmarkEnd w:id="10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17"/>
        <w:gridCol w:w="2850"/>
        <w:gridCol w:w="2410"/>
        <w:gridCol w:w="1998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9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7"/>
              </w:num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Техническое перевооружение системы питательных насосов.  (ПЭН) с заменой насосов типа АПЭ на НЦСП - 1 шт., ТЭЦ в г. Советская Гавань.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СП «ТЭЦ в г. Советская Гавань», АО «ДГК»,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г. Советская Гавань, ул. Кишиневская, 2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Питательный элек</w:t>
            </w: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тронасос ПЭН-2, инв, №-ХГ-000000000000004259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pStyle w:val="964"/>
        <w:numPr>
          <w:ilvl w:val="1"/>
          <w:numId w:val="3"/>
        </w:numPr>
        <w:ind w:left="0" w:right="0" w:firstLine="0"/>
        <w:jc w:val="left"/>
        <w:keepNext/>
        <w:spacing w:before="120" w:after="60"/>
        <w:widowControl/>
        <w:rPr>
          <w:sz w:val="24"/>
          <w:szCs w:val="24"/>
        </w:rPr>
      </w:pPr>
      <w:r>
        <w:rPr>
          <w:sz w:val="24"/>
          <w:szCs w:val="24"/>
        </w:rPr>
      </w:r>
      <w:bookmarkStart w:id="108" w:name="_Toc6"/>
      <w:r>
        <w:rPr>
          <w:rStyle w:val="1002"/>
          <w:rFonts w:eastAsia="Calibri" w:cs="Times New Roman"/>
          <w:b/>
          <w:bCs/>
          <w:color w:val="000000"/>
          <w:sz w:val="24"/>
          <w:szCs w:val="24"/>
          <w:shd w:val="clear" w:color="auto" w:fill="auto"/>
          <w:lang w:bidi="ar-SA"/>
        </w:rPr>
        <w:t xml:space="preserve">Информация в отношении исполнения договора, </w:t>
      </w:r>
      <w:bookmarkStart w:id="87" w:name="_Hlk46492347"/>
      <w:r>
        <w:rPr>
          <w:rStyle w:val="1002"/>
          <w:rFonts w:eastAsia="Calibri" w:cs="Times New Roman"/>
          <w:b/>
          <w:bCs/>
          <w:color w:val="000000"/>
          <w:sz w:val="24"/>
          <w:szCs w:val="24"/>
          <w:shd w:val="clear" w:color="auto" w:fill="auto"/>
          <w:lang w:bidi="ar-SA"/>
        </w:rPr>
        <w:t xml:space="preserve">которая должна быть учтена при подготовке заявки </w:t>
      </w:r>
      <w:bookmarkEnd w:id="87"/>
      <w:r>
        <w:rPr>
          <w:rStyle w:val="1002"/>
          <w:rFonts w:eastAsia="Calibri" w:cs="Times New Roman"/>
          <w:b/>
          <w:bCs/>
          <w:color w:val="000000"/>
          <w:sz w:val="24"/>
          <w:szCs w:val="24"/>
          <w:shd w:val="clear" w:color="auto" w:fill="auto"/>
          <w:lang w:bidi="ar-SA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sz w:val="24"/>
          <w:szCs w:val="24"/>
        </w:rPr>
      </w:r>
      <w:bookmarkEnd w:id="10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contextualSpacing/>
        <w:jc w:val="both"/>
        <w:spacing w:before="0" w:after="120"/>
        <w:widowControl w:val="off"/>
        <w:tabs>
          <w:tab w:val="left" w:pos="426" w:leader="none"/>
          <w:tab w:val="clear" w:pos="720" w:leader="none"/>
        </w:tabs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«Заказчик предоставит подрядчику: 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8"/>
        <w:numPr>
          <w:ilvl w:val="0"/>
          <w:numId w:val="11"/>
        </w:numPr>
        <w:contextualSpacing/>
        <w:jc w:val="both"/>
        <w:spacing w:before="0" w:after="120"/>
        <w:widowControl w:val="off"/>
        <w:tabs>
          <w:tab w:val="left" w:pos="426" w:leader="none"/>
          <w:tab w:val="clear" w:pos="720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Следующие виды ресурсов: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1078"/>
        <w:numPr>
          <w:ilvl w:val="1"/>
          <w:numId w:val="11"/>
        </w:numPr>
        <w:contextualSpacing/>
        <w:jc w:val="both"/>
        <w:spacing w:before="0" w:after="120"/>
        <w:widowControl w:val="off"/>
        <w:tabs>
          <w:tab w:val="left" w:pos="426" w:leader="none"/>
          <w:tab w:val="clear" w:pos="720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Электроэнергия.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1078"/>
        <w:numPr>
          <w:ilvl w:val="1"/>
          <w:numId w:val="11"/>
        </w:numPr>
        <w:contextualSpacing/>
        <w:jc w:val="both"/>
        <w:spacing w:before="0" w:after="120"/>
        <w:widowControl w:val="off"/>
        <w:tabs>
          <w:tab w:val="left" w:pos="426" w:leader="none"/>
          <w:tab w:val="clear" w:pos="720" w:leader="none"/>
        </w:tabs>
        <w:rPr>
          <w:sz w:val="24"/>
          <w:szCs w:val="24"/>
        </w:rPr>
      </w:pPr>
      <w:r>
        <w:rPr>
          <w:rStyle w:val="1002"/>
          <w:rFonts w:eastAsia="Times New Roman" w:cs="Times New Roman"/>
          <w:b w:val="0"/>
          <w:bCs w:val="0"/>
          <w:i/>
          <w:iCs/>
          <w:color w:val="000000"/>
          <w:sz w:val="24"/>
          <w:szCs w:val="24"/>
          <w:shd w:val="clear" w:color="auto" w:fill="auto"/>
          <w:lang w:bidi="ar-SA"/>
        </w:rPr>
        <w:t xml:space="preserve">Вода.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numPr>
          <w:ilvl w:val="0"/>
          <w:numId w:val="0"/>
        </w:numPr>
        <w:ind w:left="0" w:right="0" w:firstLine="0"/>
        <w:jc w:val="left"/>
        <w:spacing w:before="120" w:after="60"/>
        <w:widowControl/>
        <w:tabs>
          <w:tab w:val="left" w:pos="8787" w:leader="none"/>
        </w:tabs>
        <w:rPr>
          <w:rStyle w:val="1002"/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shd w:val="clear" w:color="auto" w:fill="auto"/>
        </w:rPr>
        <w:outlineLvl w:val="3"/>
      </w:pPr>
      <w:r>
        <w:rPr>
          <w:rFonts w:eastAsia="Calibri" w:cs="Times New Roman"/>
          <w:b/>
          <w:bCs/>
          <w:color w:val="000000"/>
          <w:sz w:val="24"/>
          <w:szCs w:val="24"/>
          <w:shd w:val="clear" w:color="auto" w:fill="auto"/>
          <w:lang w:bidi="ar-SA"/>
        </w:rPr>
      </w:r>
      <w:r>
        <w:rPr>
          <w:rStyle w:val="1002"/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shd w:val="clear" w:color="auto" w:fill="auto"/>
        </w:rPr>
      </w:r>
      <w:r>
        <w:rPr>
          <w:rStyle w:val="1002"/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shd w:val="clear" w:color="auto" w:fill="auto"/>
        </w:rPr>
      </w:r>
    </w:p>
    <w:p>
      <w:pPr>
        <w:pStyle w:val="961"/>
        <w:jc w:val="center"/>
        <w:rPr>
          <w:caps/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Требования к продукции</w:t>
      </w:r>
      <w:bookmarkEnd w:id="0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962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  <w:lang w:val="ru-RU"/>
        </w:rPr>
        <w:t xml:space="preserve">выполнения работ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Требования к видам и объемам работ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left="432" w:firstLine="0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</w:t>
      </w:r>
      <w:bookmarkEnd w:id="0"/>
      <w:r>
        <w:rPr>
          <w:sz w:val="24"/>
          <w:szCs w:val="24"/>
        </w:rPr>
        <w:t xml:space="preserve">и объем </w:t>
      </w:r>
      <w:r>
        <w:rPr>
          <w:sz w:val="24"/>
          <w:szCs w:val="24"/>
        </w:rPr>
        <w:t xml:space="preserve">выполняемых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22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5416"/>
        <w:gridCol w:w="1428"/>
        <w:gridCol w:w="21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6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8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6" w:type="dxa"/>
            <w:textDirection w:val="lrTb"/>
            <w:noWrap w:val="false"/>
          </w:tcPr>
          <w:p>
            <w:pPr>
              <w:pStyle w:val="960"/>
              <w:widowControl w:val="off"/>
              <w:rPr>
                <w:sz w:val="24"/>
                <w:szCs w:val="24"/>
              </w:rPr>
            </w:pPr>
            <w:r>
              <w:rPr>
                <w:rStyle w:val="1002"/>
                <w:b w:val="0"/>
                <w:bCs/>
                <w:i/>
                <w:iCs/>
                <w:sz w:val="24"/>
                <w:szCs w:val="24"/>
                <w:shd w:val="clear" w:color="auto" w:fill="auto"/>
                <w:lang w:val="en-US"/>
              </w:rPr>
              <w:t xml:space="preserve">Обследование, разработка и согласование с Заказчиком рабочей документации по техническому перевооружению и интеграции в существующую АСУ ТП при увеличении количества сигналов системы питательных насосов.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Условная единица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8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6" w:type="dxa"/>
            <w:textDirection w:val="lrTb"/>
            <w:noWrap w:val="false"/>
          </w:tcPr>
          <w:p>
            <w:pPr>
              <w:pStyle w:val="960"/>
              <w:widowControl w:val="off"/>
              <w:rPr>
                <w:sz w:val="24"/>
                <w:szCs w:val="24"/>
              </w:rPr>
            </w:pPr>
            <w:r>
              <w:rPr>
                <w:rStyle w:val="1002"/>
                <w:b w:val="0"/>
                <w:bCs/>
                <w:i/>
                <w:iCs/>
                <w:sz w:val="24"/>
                <w:szCs w:val="24"/>
                <w:shd w:val="clear" w:color="auto" w:fill="auto"/>
                <w:lang w:val="en-US"/>
              </w:rPr>
              <w:t xml:space="preserve">Выполнение комплекса строительно-монтажных работ (в том числе поставка оборудования и материалов)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Условная единица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8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6" w:type="dxa"/>
            <w:textDirection w:val="lrTb"/>
            <w:noWrap w:val="false"/>
          </w:tcPr>
          <w:p>
            <w:pPr>
              <w:pStyle w:val="1078"/>
              <w:ind w:left="0" w:firstLine="0"/>
              <w:jc w:val="both"/>
              <w:shd w:val="clear" w:color="auto" w:fill="ffffff"/>
              <w:widowControl w:val="off"/>
              <w:tabs>
                <w:tab w:val="clear" w:pos="720" w:leader="none"/>
                <w:tab w:val="left" w:pos="1418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  <w:highlight w:val="white"/>
              </w:rPr>
              <w:t xml:space="preserve">Пуско-наладочные работы, шеф-наладка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Условная единица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960"/>
        <w:ind w:firstLine="142"/>
        <w:spacing w:before="120" w:after="120"/>
        <w:widowControl w:val="off"/>
        <w:tabs>
          <w:tab w:val="left" w:pos="426" w:leader="none"/>
          <w:tab w:val="clear" w:pos="720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961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bookmarkStart w:id="113" w:name="_Toc1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2.1.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 выполняемых работ</w:t>
      </w:r>
      <w:r>
        <w:rPr>
          <w:sz w:val="24"/>
          <w:szCs w:val="24"/>
        </w:rPr>
      </w:r>
      <w:bookmarkEnd w:id="11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22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4849"/>
        <w:gridCol w:w="1995"/>
        <w:gridCol w:w="21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9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Центробежный,  секционный, питательный: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Производительность насоса: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Номинальная, 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/час, не менее: 240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Напор номинальный, м, не менее: 1800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Кавитационный запас, м, не более: 10,0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Номинальная мощность насоса, кВт: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При ρ=1000 кг/м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, не более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 1800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Давление на входе, МПа: 0,98...3,1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КПД насоса в номинальном режиме, %,не менее: 60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Режим работы Эл.двигателя: непрерывный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Мощность, кВт, не более: 2000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Напряжение, В: 6000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Частота вращения, об/мин 3000(синхронная)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Перекачиваемая среда питательная вода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Плотность, кг/м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900...1000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Температура, °С +180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Водородный показатель, pH 6,0...10,0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Максимальный размер твердых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частиц, мм 0,2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Максимальная конц. мех. Примесей, % 0,2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Смазка подшипников Принудительная от маслосистемы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Тип соединения с регулирующей гидромуфты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«Voith Turbo» типа 562 SVTL 12.1. Муфта упругая пластинчатая. Обеспечить установку в составе насосного агрегата для соединения вала насоса с валом гидромуфты«Voith Turbo» типа 562 SVTL 12.1. Без изменения конструкции гидромуфты и её положения на фундаменте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Тип уплотнения ротора Одинарное торцевое механическое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shd w:val="clear" w:color="auto" w:fill="ffff00"/>
                <w:vertAlign w:val="baseline"/>
                <w:lang w:val="ru-RU" w:eastAsia="ru-RU" w:bidi="ar-SA"/>
              </w:rPr>
              <w:t xml:space="preserve">- Комплект контрольно-измерительных</w:t>
            </w:r>
            <w:r>
              <w:rPr>
                <w:highlight w:val="white"/>
                <w:lang w:val="ru-RU" w:eastAsia="ru-RU" w:bidi="ar-SA"/>
              </w:rPr>
              <w:t xml:space="preserve">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shd w:val="clear" w:color="auto" w:fill="ffff00"/>
                <w:vertAlign w:val="baseline"/>
                <w:lang w:val="ru-RU" w:eastAsia="ru-RU" w:bidi="ar-SA"/>
              </w:rPr>
              <w:t xml:space="preserve">приборов с учетом 30% ЗИП.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шт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963"/>
        <w:numPr>
          <w:ilvl w:val="0"/>
          <w:numId w:val="0"/>
        </w:numPr>
        <w:ind w:left="720" w:firstLine="0"/>
        <w:rPr>
          <w:sz w:val="24"/>
          <w:szCs w:val="24"/>
        </w:rPr>
      </w:pPr>
      <w:r>
        <w:rPr>
          <w:sz w:val="24"/>
          <w:szCs w:val="24"/>
        </w:rPr>
      </w:r>
      <w:bookmarkStart w:id="114" w:name="_Toc12"/>
      <w:r>
        <w:rPr>
          <w:sz w:val="24"/>
          <w:szCs w:val="24"/>
        </w:rPr>
        <w:t xml:space="preserve">2.1.2.</w:t>
      </w:r>
      <w:r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 xml:space="preserve">к срокам выполнения работ</w:t>
      </w:r>
      <w:r>
        <w:rPr>
          <w:sz w:val="24"/>
          <w:szCs w:val="24"/>
        </w:rPr>
      </w:r>
      <w:bookmarkEnd w:id="1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left="0" w:firstLine="0"/>
        <w:rPr>
          <w:rStyle w:val="1002"/>
          <w:b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</w:r>
      <w:bookmarkStart w:id="115" w:name="_Toc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</w:t>
      </w:r>
      <w:bookmarkStart w:id="102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</w:r>
      <w:bookmarkEnd w:id="102"/>
      <w:r>
        <w:rPr>
          <w:sz w:val="24"/>
          <w:szCs w:val="24"/>
          <w:lang w:val="ru-RU"/>
        </w:rPr>
        <w:t xml:space="preserve">по срокам выполнения работ</w:t>
      </w:r>
      <w:r>
        <w:rPr>
          <w:rStyle w:val="1002"/>
          <w:b/>
          <w:i w:val="0"/>
          <w:sz w:val="24"/>
          <w:szCs w:val="24"/>
          <w:shd w:val="clear" w:color="auto" w:fill="auto"/>
        </w:rPr>
      </w:r>
      <w:bookmarkEnd w:id="115"/>
      <w:r>
        <w:rPr>
          <w:rStyle w:val="1002"/>
          <w:b/>
          <w:i w:val="0"/>
          <w:sz w:val="24"/>
          <w:szCs w:val="24"/>
          <w:shd w:val="clear" w:color="auto" w:fill="auto"/>
        </w:rPr>
      </w:r>
      <w:r>
        <w:rPr>
          <w:rStyle w:val="1002"/>
          <w:b/>
          <w:i w:val="0"/>
          <w:sz w:val="24"/>
          <w:szCs w:val="24"/>
          <w:shd w:val="clear" w:color="auto" w:fill="auto"/>
        </w:rPr>
      </w:r>
    </w:p>
    <w:p>
      <w:pPr>
        <w:pStyle w:val="960"/>
        <w:spacing w:before="120" w:after="120"/>
        <w:widowControl w:val="off"/>
        <w:tabs>
          <w:tab w:val="left" w:pos="426" w:leader="none"/>
          <w:tab w:val="clear" w:pos="720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tbl>
      <w:tblPr>
        <w:tblW w:w="9918" w:type="dxa"/>
        <w:tblInd w:w="113" w:type="dxa"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4A0" w:firstRow="1" w:lastRow="0" w:firstColumn="1" w:lastColumn="0" w:noHBand="0" w:noVBand="1"/>
      </w:tblPr>
      <w:tblGrid>
        <w:gridCol w:w="1115"/>
        <w:gridCol w:w="2271"/>
        <w:gridCol w:w="3271"/>
        <w:gridCol w:w="326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15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71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  <w:br/>
              <w:t xml:space="preserve">(вид / этап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pStyle w:val="109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 (этапа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109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(этапа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6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1" w:type="dxa"/>
            <w:textDirection w:val="lrTb"/>
            <w:noWrap w:val="false"/>
          </w:tcPr>
          <w:p>
            <w:pPr>
              <w:pStyle w:val="109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109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10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Обследования, разработка и согласование с Заказчиком рабочей документации по техническому перевооружению и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интеграции в существующую АСУ ТП при увеличении количества сигналов </w:t>
            </w:r>
            <w:r>
              <w:rPr>
                <w:i/>
                <w:iCs/>
                <w:sz w:val="24"/>
                <w:szCs w:val="24"/>
              </w:rPr>
              <w:t xml:space="preserve">системы питательных насосов.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1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течение 30 </w:t>
            </w:r>
            <w:r>
              <w:rPr>
                <w:i/>
                <w:iCs/>
                <w:sz w:val="24"/>
                <w:szCs w:val="24"/>
              </w:rPr>
              <w:t xml:space="preserve">календарных </w:t>
            </w:r>
            <w:r>
              <w:rPr>
                <w:i/>
                <w:iCs/>
                <w:sz w:val="24"/>
                <w:szCs w:val="24"/>
              </w:rPr>
              <w:t xml:space="preserve">дней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10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Выполнение комплекса строительно-монтажных работ (в том числе поставка оборудования и материалов)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1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течение 205 </w:t>
            </w:r>
            <w:r>
              <w:rPr>
                <w:i/>
                <w:iCs/>
                <w:sz w:val="24"/>
                <w:szCs w:val="24"/>
              </w:rPr>
              <w:t xml:space="preserve">календарных </w:t>
            </w:r>
            <w:r>
              <w:rPr>
                <w:i/>
                <w:iCs/>
                <w:sz w:val="24"/>
                <w:szCs w:val="24"/>
              </w:rPr>
              <w:t xml:space="preserve">дней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10"/>
              </w:numPr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1078"/>
              <w:ind w:left="0" w:firstLine="0"/>
              <w:jc w:val="both"/>
              <w:shd w:val="clear" w:color="auto" w:fill="ffffff"/>
              <w:widowControl w:val="off"/>
              <w:tabs>
                <w:tab w:val="clear" w:pos="720" w:leader="none"/>
                <w:tab w:val="left" w:pos="1418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  <w:highlight w:val="white"/>
              </w:rPr>
              <w:t xml:space="preserve">Пуско-наладочные работы, шеф-наладка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1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Noto Serif CJK SC" w:cs="Arial Unicode MS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С даты, следующей за датой выполнения комплекса строительно-монтажных работ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Noto Serif CJK SC" w:cs="Arial Unicode MS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В течение 30 </w:t>
            </w:r>
            <w:r>
              <w:rPr>
                <w:rFonts w:eastAsia="Noto Serif CJK SC" w:cs="Arial Unicode MS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календарных </w:t>
            </w:r>
            <w:r>
              <w:rPr>
                <w:rFonts w:eastAsia="Noto Serif CJK SC" w:cs="Arial Unicode MS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дней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0" w:gutter="0"/>
          <w:cols w:num="1" w:sep="0" w:space="1701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4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</w:r>
      <w:bookmarkStart w:id="116" w:name="_Toc14"/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  <w:lang w:val="ru-RU"/>
        </w:rPr>
        <w:t xml:space="preserve">качеству продукции</w:t>
      </w:r>
      <w:r>
        <w:rPr>
          <w:sz w:val="24"/>
          <w:szCs w:val="24"/>
        </w:rPr>
      </w:r>
      <w:bookmarkEnd w:id="1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bookmarkStart w:id="117" w:name="_Toc15"/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 xml:space="preserve">качеству продукции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1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spacing w:before="120" w:after="120"/>
        <w:widowControl w:val="off"/>
        <w:tabs>
          <w:tab w:val="left" w:pos="426" w:leader="none"/>
          <w:tab w:val="clear" w:pos="720" w:leader="none"/>
        </w:tabs>
        <w:rPr>
          <w:sz w:val="24"/>
          <w:szCs w:val="24"/>
        </w:rPr>
      </w:pPr>
      <w:r>
        <w:rPr>
          <w:rStyle w:val="1002"/>
          <w:rFonts w:eastAsia="Calibri"/>
          <w:b w:val="0"/>
          <w:i/>
          <w:sz w:val="24"/>
          <w:szCs w:val="24"/>
          <w:shd w:val="clear" w:color="auto" w:fill="auto"/>
        </w:rPr>
        <w:t xml:space="preserve">«Техническое перевооружение системы питательных электронасосов (ПЭН) с заменой насосов типа АПЭ на НЦСП - 1 шт., ТЭЦ в г. Советская Гавань.»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rPr>
          <w:rStyle w:val="1002"/>
          <w:b w:val="0"/>
          <w:sz w:val="24"/>
          <w:szCs w:val="24"/>
        </w:rPr>
      </w:pPr>
      <w:r>
        <w:rPr>
          <w:rStyle w:val="1002"/>
          <w:b w:val="0"/>
          <w:sz w:val="24"/>
          <w:szCs w:val="24"/>
        </w:rPr>
      </w:r>
      <w:r>
        <w:rPr>
          <w:rStyle w:val="1002"/>
          <w:b w:val="0"/>
          <w:sz w:val="24"/>
          <w:szCs w:val="24"/>
        </w:rPr>
      </w:r>
      <w:r>
        <w:rPr>
          <w:rStyle w:val="1002"/>
          <w:b w:val="0"/>
          <w:sz w:val="24"/>
          <w:szCs w:val="24"/>
        </w:rPr>
      </w:r>
    </w:p>
    <w:p>
      <w:pPr>
        <w:pStyle w:val="960"/>
        <w:jc w:val="both"/>
        <w:spacing w:before="0" w:after="120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продукции: </w:t>
      </w:r>
      <w:r>
        <w:rPr>
          <w:rStyle w:val="1002"/>
          <w:rFonts w:eastAsia="Calibri"/>
          <w:b w:val="0"/>
          <w:bCs/>
          <w:i/>
          <w:iCs/>
          <w:sz w:val="24"/>
          <w:szCs w:val="24"/>
          <w:shd w:val="clear" w:color="auto" w:fill="auto"/>
        </w:rPr>
        <w:t xml:space="preserve">«Техническое перевооружение системы питательных электронасосов (ПЭН) с заменой насосов типа АПЭ на НЦСП - 1 шт., ТЭЦ в г. Советская Гавань.»</w:t>
      </w:r>
      <w:r>
        <w:rPr>
          <w:i/>
          <w:iCs/>
          <w:sz w:val="24"/>
          <w:szCs w:val="24"/>
          <w:shd w:val="clear" w:color="auto" w:fill="ffff99"/>
        </w:rPr>
      </w:r>
      <w:r>
        <w:rPr>
          <w:i/>
          <w:iCs/>
          <w:sz w:val="24"/>
          <w:szCs w:val="24"/>
          <w:shd w:val="clear" w:color="auto" w:fill="ffff99"/>
        </w:rPr>
      </w:r>
    </w:p>
    <w:tbl>
      <w:tblPr>
        <w:tblStyle w:val="1122"/>
        <w:tblW w:w="15385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194"/>
        <w:gridCol w:w="3543"/>
        <w:gridCol w:w="2694"/>
        <w:gridCol w:w="2835"/>
        <w:gridCol w:w="2409"/>
      </w:tblGrid>
      <w:tr>
        <w:tblPrEx/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52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vMerge w:val="continue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both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способам и технологиям выполнения работ</w:t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3194" w:type="dxa"/>
            <w:textDirection w:val="lrTb"/>
            <w:noWrap w:val="false"/>
          </w:tcPr>
          <w:p>
            <w:pPr>
              <w:pStyle w:val="96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rStyle w:val="1002"/>
                <w:b w:val="0"/>
                <w:bCs/>
                <w:i/>
                <w:iCs/>
                <w:sz w:val="24"/>
                <w:szCs w:val="24"/>
                <w:shd w:val="clear" w:color="auto" w:fill="auto"/>
                <w:lang w:val="en-US"/>
              </w:rPr>
              <w:t xml:space="preserve">Обследование системы питательных насосов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Обследование объекта осуществляется представителем подрядной организации с выездом на объект Заказчика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2"/>
              </w:numPr>
              <w:contextualSpacing/>
              <w:ind w:left="310" w:hanging="283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Правилами технической эксплуатации электрических станций и сетей Российской Федерации. (утв. приказом Минэнерго Российской Федерации от 19.06.2003 №229);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2"/>
              </w:numPr>
              <w:contextualSpacing/>
              <w:ind w:left="310" w:firstLine="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Техническая политика Группы РусГидро утверждена Советом директоров Общества (Протокол № 307 Заседания Совета Директоров ПАО «РусГидро» от 06.02.2024 в ред. протокола от 07.02.2024 № 368);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2"/>
              </w:numPr>
              <w:contextualSpacing/>
              <w:ind w:left="310" w:firstLine="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Типовые проектные решения ПАО «РУСГИДРО» для АСУТП ТМО, АСУТП ЭТО, ВУ АСУТП ТЭС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12"/>
              </w:numPr>
              <w:jc w:val="left"/>
              <w:spacing w:before="6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Допуск персонала подрядчика для выполнения работ должен осуществляется в соответствии с «Временным положением о допуске перс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онала строительно-монтажных организаций и командированного персонала к выполнению работ на объектах ПАО «РусГидро» (утв. приказом ОАО «РусГидро» №736 от 13.11.2008 г) (раздел 8, Приложение №ХХ к ТТ)» с обязательным оформлением необходимых нарядов-допусков.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Подготовку рабочих мест и допуск к выполнению работ выполняет персонал заказчика.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1078"/>
              <w:contextualSpacing/>
              <w:ind w:left="113" w:right="0" w:firstLine="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</w:rPr>
            </w:pPr>
            <w:r>
              <w:rPr>
                <w:rStyle w:val="1002"/>
                <w:rFonts w:cs="Times New Roman"/>
                <w:b w:val="0"/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Разработка и согласование </w:t>
            </w:r>
            <w:r>
              <w:rPr>
                <w:rStyle w:val="1002"/>
                <w:rFonts w:eastAsia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проекта</w:t>
            </w:r>
            <w:r>
              <w:rPr>
                <w:rStyle w:val="1002"/>
                <w:rFonts w:cs="Times New Roman"/>
                <w:b w:val="0"/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производства работ (ППР)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До начала производства комплекса строительно-монтажных работ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Требования к шефмонтажу: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Участие в монтаже, наладке и приемо-сдаточных испытаниях технического представителя завода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94" w:type="dxa"/>
            <w:textDirection w:val="lrTb"/>
            <w:noWrap w:val="false"/>
          </w:tcPr>
          <w:p>
            <w:pPr>
              <w:pStyle w:val="1078"/>
              <w:ind w:left="0" w:firstLine="0"/>
              <w:jc w:val="both"/>
              <w:shd w:val="clear" w:color="auto" w:fill="ffffff"/>
              <w:widowControl w:val="off"/>
              <w:tabs>
                <w:tab w:val="clear" w:pos="720" w:leader="none"/>
                <w:tab w:val="left" w:pos="1418" w:leader="none"/>
              </w:tabs>
              <w:rPr>
                <w:rFonts w:ascii="Times New Roman" w:hAnsi="Times New Roman" w:eastAsia="Times New Roman" w:cs="Times New Roman"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Пуско-наладочные работы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Разработка, согласование и выполнение программы пуско-наладочных работ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оборудованию и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4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Требования к используемым запасным частям и материалам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b w:val="0"/>
                <w:i/>
                <w:iCs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Все поставляемые и применяемые запасные части, и материалы должны быть новыми и не использованными ранее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Контроль качества используемых запасных частей и материалов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6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частей, включающий в себя проверку: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4"/>
              </w:numPr>
              <w:contextualSpacing w:val="0"/>
              <w:ind w:left="170" w:hanging="170"/>
              <w:jc w:val="left"/>
              <w:spacing w:before="0" w:after="60"/>
              <w:widowControl w:val="off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4"/>
              </w:numPr>
              <w:contextualSpacing w:val="0"/>
              <w:ind w:left="170" w:hanging="170"/>
              <w:jc w:val="left"/>
              <w:spacing w:before="0" w:after="60"/>
              <w:widowControl w:val="off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4"/>
              </w:numPr>
              <w:contextualSpacing w:val="0"/>
              <w:ind w:left="170" w:hanging="170"/>
              <w:jc w:val="left"/>
              <w:spacing w:before="0" w:after="60"/>
              <w:widowControl w:val="off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наличия маркировки, сохранности упаковки, наличия и сохранности защитных и окрасочных покрытий и т.п.;</w:t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4"/>
              </w:numPr>
              <w:contextualSpacing w:val="0"/>
              <w:ind w:left="170" w:hanging="170"/>
              <w:jc w:val="left"/>
              <w:spacing w:before="0" w:after="60"/>
              <w:widowControl w:val="off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комплектности поставляемых материалов.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bCs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bCs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 /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0"/>
              </w:numPr>
              <w:contextualSpacing/>
              <w:ind w:left="27" w:firstLine="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</w:t>
            </w: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Подрядчик должен: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3"/>
              </w:numPr>
              <w:contextualSpacing/>
              <w:ind w:left="169" w:hanging="142"/>
              <w:jc w:val="left"/>
              <w:spacing w:before="0" w:after="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соблюдать требования действующего федерального законодательства Российской Федерации , нормативных правовых актов субъектов Российской Федерации,  в т.ч. законодательство о</w:t>
            </w: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  <w:p>
            <w:pPr>
              <w:pStyle w:val="960"/>
              <w:contextualSpacing/>
              <w:jc w:val="left"/>
              <w:spacing w:before="0" w:after="0"/>
              <w:widowControl w:val="off"/>
              <w:tabs>
                <w:tab w:val="left" w:pos="567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Подрядчик обязан: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3"/>
              </w:numPr>
              <w:contextualSpacing/>
              <w:ind w:left="169" w:hanging="142"/>
              <w:jc w:val="left"/>
              <w:spacing w:before="0" w:after="0"/>
              <w:widowControl w:val="off"/>
              <w:tabs>
                <w:tab w:val="left" w:pos="567" w:leader="none"/>
                <w:tab w:val="clear" w:pos="720" w:leader="none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направлять на объ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1002"/>
                <w:iCs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оборудования (включая гарантируемые показатели)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Центробежный,  секционный, питательный: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Производительность насоса: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Номинальная, 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/час, не менее: 240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Напор номинальный, м, не менее: 1800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Кавитационный запас, м, не более: 10,0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Номинальная мощность насоса, кВт: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При ρ=1000 кг/м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, не более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 1800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Давление на входе, МПа: 0,98...3,1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КПД насоса в номинальном режиме, %,не менее: 60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Режим работы Эл.двигателя: непрерывный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Мощность, кВт, не более: 2000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Напряжение, В: 6000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Частота вращения, об/мин 3000(синхронная)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Перекачиваемая среда питательная вода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Плотность, кг/м</w:t>
            </w:r>
            <w:r>
              <w:rPr>
                <w:i/>
                <w:iCs/>
                <w:sz w:val="24"/>
                <w:szCs w:val="24"/>
                <w:highlight w:val="white"/>
                <w:vertAlign w:val="superscript"/>
                <w:lang w:val="ru-RU" w:eastAsia="ru-RU" w:bidi="ar-SA"/>
              </w:rPr>
              <w:t xml:space="preserve">3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900...1000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Температура, °С +180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Водородный показатель, pH 6,0...10,0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Максимальный размер твердых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частиц, мм 0,2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Максимальная конц. мех. Примесей, % 0,2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Смазка подшипников Принудительная от маслосистемы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Тип соединения с регулирующей гидромуфты </w:t>
            </w: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«Voith Turbo» типа 562 SVTL 12.1. Муфта упругая пластинчатая. Обеспечить установку в составе насосного агрегата для соединения вала насоса с валом гидромуфты«Voith Turbo» типа 562 SVTL 12.1. Без изменения конструкции гидромуфты и её положения на фундаменте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position w:val="0"/>
                <w:sz w:val="24"/>
                <w:szCs w:val="24"/>
                <w:highlight w:val="white"/>
                <w:vertAlign w:val="baseline"/>
                <w:lang w:val="ru-RU" w:eastAsia="ru-RU" w:bidi="ar-SA"/>
              </w:rPr>
              <w:t xml:space="preserve">- Тип уплотнения ротора Одинарное торцевое механическое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/>
                <w:position w:val="0"/>
                <w:sz w:val="24"/>
                <w:szCs w:val="24"/>
                <w:highlight w:val="white"/>
                <w:shd w:val="clear" w:color="auto" w:fill="ffff00"/>
                <w:vertAlign w:val="baseline"/>
                <w:lang w:val="ru-RU" w:eastAsia="ru-RU" w:bidi="ar-SA"/>
              </w:rPr>
              <w:t xml:space="preserve">- Комплект контрольно-измерительных приборов с учетом</w:t>
            </w:r>
            <w:r>
              <w:rPr>
                <w:highlight w:val="white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color w:val="000000"/>
                <w:position w:val="0"/>
                <w:sz w:val="24"/>
                <w:szCs w:val="24"/>
                <w:highlight w:val="white"/>
                <w:shd w:val="clear" w:color="auto" w:fill="ffff00"/>
                <w:vertAlign w:val="baseline"/>
                <w:lang w:val="ru-RU" w:eastAsia="ru-RU" w:bidi="ar-SA"/>
              </w:rPr>
              <w:t xml:space="preserve">30% ЗИП.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Указание характеристик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rStyle w:val="1002"/>
                <w:b w:val="0"/>
                <w:bCs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Место поставки, отгрузочные реквизиты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АО "ДГК" СП «ТЭЦ в г. Советская Гавань», 682800, Хабаровский край, г. Советская Гавань, ул. Кишиневская, 2,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ИНН/КПП 1434031363/270945003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Участие представителя завода изготовителя (поставщика) в проверке качества и комплектности поставляемого оборудования, ЗИП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12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Требования к происхождению поставляемой продукции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Поставляемая продукция должна быть российского происхождения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выпол</w:t>
            </w: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нения договора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выполнения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Требования к результату предпроектного обследования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Должно быть выполнено обследование существующих строительных металлоконструкций, фундаментов и других частей старого оборудования (сооружения, здания) с целью определения их остаточного ресурса и возможности дальнейшего использования.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Результат предоставить заказчику в виде отчета о проведенном предпроектном обследовании.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договора, включая гарантируемые показатели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shd w:val="clear" w:color="auto" w:fill="auto"/>
              </w:rPr>
              <w:t xml:space="preserve">Показатели вибрационного состояния после монтажа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Не более 4,5 мм*с</w:t>
            </w:r>
            <w:r>
              <w:rPr>
                <w:i/>
                <w:iCs/>
                <w:sz w:val="24"/>
                <w:szCs w:val="24"/>
                <w:shd w:val="clear" w:color="auto" w:fill="auto"/>
                <w:vertAlign w:val="superscript"/>
              </w:rPr>
              <w:t xml:space="preserve">-1</w:t>
            </w: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 по ГОСТ ИСО 10816-3-2023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 w:val="0"/>
                <w:bCs w:val="0"/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Согласие с требованием</w:t>
            </w:r>
            <w:r>
              <w:rPr>
                <w:b w:val="0"/>
                <w:bCs w:val="0"/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b w:val="0"/>
                <w:bCs w:val="0"/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center"/>
              <w:keepNext w:val="0"/>
              <w:spacing w:before="0" w:after="60"/>
              <w:widowControl w:val="off"/>
              <w:rPr>
                <w:rFonts w:eastAsia="Times New Roman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Средний ресурс до капитального ремонта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center"/>
              <w:spacing w:before="0" w:after="12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Не менее 30 000 часов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94" w:type="dxa"/>
            <w:textDirection w:val="lrTb"/>
            <w:noWrap w:val="false"/>
          </w:tcPr>
          <w:p>
            <w:pPr>
              <w:pStyle w:val="960"/>
              <w:jc w:val="center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Средняя наработка до отказа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3543" w:type="dxa"/>
            <w:textDirection w:val="lrTb"/>
            <w:noWrap w:val="false"/>
          </w:tcPr>
          <w:p>
            <w:pPr>
              <w:pStyle w:val="960"/>
              <w:jc w:val="center"/>
              <w:spacing w:before="0" w:after="12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  <w:t xml:space="preserve">Не менее 12 500 часов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Гарантируемые показатели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3543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Напорная и расходная характеристики насоса должны обеспечивать питание котла во всех режимах его работы</w:t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/>
                <w:iCs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Документы, передаваемые заказчику по результатам выполненных работ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Отчет о проведении предпроектного обследования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Комплект рабочей документации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960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Исполнительная документация, в том числе, но не ограничиваясь: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5"/>
              </w:numPr>
              <w:contextualSpacing/>
              <w:ind w:left="310" w:hanging="283"/>
              <w:jc w:val="left"/>
              <w:spacing w:before="0" w:after="0"/>
              <w:widowControl w:val="off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15"/>
              </w:numPr>
              <w:contextualSpacing/>
              <w:ind w:left="310" w:hanging="283"/>
              <w:jc w:val="left"/>
              <w:spacing w:before="0" w:after="0"/>
              <w:widowControl w:val="off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завода-изготовителя).</w:t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  <w:r>
              <w:rPr>
                <w:rFonts w:eastAsia="Times New Roman"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960"/>
              <w:jc w:val="both"/>
              <w:spacing w:before="2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ответственности, гарантиям и послегарантийному обслуживанию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94" w:type="dxa"/>
            <w:textDirection w:val="lrTb"/>
            <w:noWrap w:val="false"/>
          </w:tcPr>
          <w:p>
            <w:pPr>
              <w:pStyle w:val="960"/>
              <w:jc w:val="left"/>
              <w:spacing w:before="4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Гарантийный срок на результат работ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Гарантийный срок на результат работ должен составля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ть не менее 12 500 ч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асов наработки оборудования либо не менее 12 месяцев с даты подписания Акта о приемке выполненных работ КС-11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Указать срок </w:t>
              <w:br/>
              <w:t xml:space="preserve">(в часах наработки оборудования и месяцах)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left"/>
              <w:spacing w:before="4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bCs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bCs/>
                <w:sz w:val="24"/>
                <w:szCs w:val="24"/>
                <w:lang w:val="ru-RU" w:eastAsia="ru-RU" w:bidi="ar-SA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6737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</w:rPr>
            </w:r>
            <w:bookmarkStart w:id="118" w:name="_Toc16"/>
            <w:r>
              <w:rPr>
                <w:rFonts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60"/>
              <w:jc w:val="center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14675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u w:val="none"/>
              </w:rPr>
              <w:outlineLvl w:val="2"/>
            </w:pPr>
            <w:r>
              <w:rPr>
                <w:sz w:val="24"/>
                <w:szCs w:val="24"/>
              </w:rPr>
            </w:r>
            <w:bookmarkStart w:id="119" w:name="_Toc17"/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Участник, признанный победителем закупочной процедуры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, в течение 5 (пяти) рабочих дней после размещения протокола подведения итогов закупки на сайте </w:t>
            </w:r>
            <w:hyperlink r:id="rId17" w:tooltip="http://www.zakupki.gov.ru/" w:history="1">
              <w:r>
                <w:rPr>
                  <w:rStyle w:val="974"/>
                  <w:rFonts w:eastAsia="Times New Roman" w:cs="Times New Roman"/>
                  <w:i/>
                  <w:iCs/>
                  <w:color w:val="000000"/>
                  <w:sz w:val="24"/>
                  <w:szCs w:val="24"/>
                  <w:u w:val="none"/>
                  <w:shd w:val="clear" w:color="auto" w:fill="ffffff"/>
                  <w:lang w:val="ru-RU" w:eastAsia="ru-RU" w:bidi="ar-SA"/>
                </w:rPr>
                <w:t xml:space="preserve">www.zakupki.gov.ru</w:t>
              </w:r>
            </w:hyperlink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 (до заключения договора), должен предоставить в адрес Заказчика на электронный адрес (kogonzon-ai@dgk.ru) дополнительные документы.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u w:val="none"/>
              </w:rPr>
            </w:r>
            <w:bookmarkEnd w:id="119"/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jc w:val="both"/>
              <w:spacing w:before="0" w:after="0"/>
              <w:widowControl w:val="o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В случае не предоставления документов</w:t>
            </w:r>
            <w:r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Mar>
              <w:top w:w="55" w:type="dxa"/>
              <w:bottom w:w="55" w:type="dxa"/>
            </w:tcMar>
            <w:tcW w:w="3194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0"/>
              </w:numPr>
              <w:ind w:left="0" w:righ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outlineLvl w:val="2"/>
            </w:pPr>
            <w:r>
              <w:rPr>
                <w:sz w:val="24"/>
                <w:szCs w:val="24"/>
              </w:rPr>
            </w:r>
            <w:bookmarkStart w:id="123" w:name="_Toc21"/>
            <w:r>
              <w:rPr>
                <w:rFonts w:eastAsia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bookmarkEnd w:id="123"/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numPr>
                <w:ilvl w:val="0"/>
                <w:numId w:val="0"/>
              </w:numPr>
              <w:ind w:left="0" w:right="0" w:firstLine="0"/>
              <w:jc w:val="left"/>
              <w:spacing w:before="0" w:after="6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outlineLvl w:val="2"/>
            </w:pPr>
            <w:r>
              <w:rPr>
                <w:sz w:val="24"/>
                <w:szCs w:val="24"/>
              </w:rPr>
            </w:r>
            <w:bookmarkStart w:id="124" w:name="_Toc22"/>
            <w:r>
              <w:rPr>
                <w:rFonts w:eastAsia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1. </w:t>
            </w: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bookmarkEnd w:id="124"/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иметь в наличие не менее  3 человек (руководитель, производитель работ и всех членов бригады) документы проверки знаний требований охраны труда.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2. Согласно Приказа Ростехнадзора №519 от 11.12.2020 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объектах»: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иметь минимальное количество квалифицированного персонала: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 </w:t>
            </w: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- </w:t>
            </w: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Специалисты сварочного производства (не ниже 5 разряда), (группа опасных объектов: котельное оборудование КО-2; строительные конструкции СК-1, СК-2, СК-3) – не менее 3 сварщиков;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0" w:firstLine="0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- ИТР (технолог-сварщик), (группа опасных объектов: котельное оборудование КО-2; строительные конструкции СК-1, СК-2, СК-3) - не менее 1 (одного)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</w:tc>
        <w:tc>
          <w:tcPr>
            <w:tcBorders>
              <w:top w:val="none" w:color="000000" w:sz="4" w:space="0"/>
            </w:tcBorders>
            <w:tcMar>
              <w:top w:w="55" w:type="dxa"/>
              <w:bottom w:w="55" w:type="dxa"/>
            </w:tcMar>
            <w:tcW w:w="3543" w:type="dxa"/>
            <w:vAlign w:val="center"/>
            <w:textDirection w:val="lrTb"/>
            <w:noWrap w:val="false"/>
          </w:tcPr>
          <w:p>
            <w:pPr>
              <w:pStyle w:val="103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outlineLvl w:val="2"/>
            </w:pPr>
            <w:r>
              <w:rPr>
                <w:sz w:val="24"/>
                <w:szCs w:val="24"/>
              </w:rPr>
            </w:r>
            <w:bookmarkStart w:id="125" w:name="_Toc23"/>
            <w:r>
              <w:rPr>
                <w:rFonts w:eastAsia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  <w:lang w:val="ru-RU" w:eastAsia="ru-RU" w:bidi="ar-SA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bookmarkEnd w:id="125"/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ind w:left="0" w:right="141" w:firstLine="0"/>
              <w:jc w:val="both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1.Копиями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/>
                <w:i/>
                <w:color w:val="00000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highlight w:val="none"/>
                <w:u w:val="none"/>
              </w:rPr>
            </w: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highlight w:val="none"/>
                <w:u w:val="none"/>
              </w:rPr>
            </w:r>
            <w:r>
              <w:rPr>
                <w:rFonts w:ascii="Times New Roman" w:hAnsi="Times New Roman"/>
                <w:b w:val="0"/>
                <w:bCs/>
                <w:i/>
                <w:color w:val="000000"/>
                <w:sz w:val="24"/>
                <w:szCs w:val="24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b w:val="0"/>
                <w:bCs w:val="0"/>
                <w:i/>
                <w:iCs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2.1 Аттестационное удостоверение специалиста сварочного производства .</w:t>
            </w: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highlight w:val="none"/>
                <w:u w:val="none"/>
              </w:rPr>
            </w: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highlight w:val="none"/>
                <w:u w:val="none"/>
              </w:rPr>
            </w:r>
          </w:p>
          <w:p>
            <w:pPr>
              <w:pStyle w:val="1038"/>
              <w:spacing w:before="0" w:after="0"/>
              <w:widowControl w:val="off"/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  <w:t xml:space="preserve">2.2 Аттестационные  удостоверения сварщиков.</w:t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/>
                <w:b w:val="0"/>
                <w:bCs w:val="0"/>
                <w:i/>
                <w:iCs/>
                <w:color w:val="000000"/>
                <w:sz w:val="24"/>
                <w:szCs w:val="24"/>
                <w:u w:val="none"/>
              </w:rPr>
            </w:r>
          </w:p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spacing w:before="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outlineLvl w:val="2"/>
            </w:pPr>
            <w:r>
              <w:rPr>
                <w:rFonts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</w:r>
          </w:p>
        </w:tc>
        <w:tc>
          <w:tcPr>
            <w:tcBorders>
              <w:top w:val="non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60"/>
              <w:jc w:val="left"/>
              <w:spacing w:before="0" w:after="0"/>
              <w:widowControl w:val="o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93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963"/>
        <w:numPr>
          <w:ilvl w:val="2"/>
          <w:numId w:val="3"/>
        </w:numPr>
        <w:rPr>
          <w:sz w:val="24"/>
          <w:szCs w:val="24"/>
        </w:rPr>
      </w:pPr>
      <w:r>
        <w:rPr>
          <w:sz w:val="24"/>
          <w:szCs w:val="24"/>
        </w:rPr>
      </w:r>
      <w:bookmarkStart w:id="126" w:name="_Toc24"/>
      <w:r>
        <w:rPr>
          <w:sz w:val="24"/>
          <w:szCs w:val="24"/>
        </w:rPr>
        <w:t xml:space="preserve">В составе заявки необходимо предоставить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</w:rPr>
      </w:r>
      <w:bookmarkEnd w:id="1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spacing w:before="0" w:after="60"/>
        <w:rPr>
          <w:b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предложенной продукции, требованиям настоящих ТТ, предоставляет следующие документы: </w:t>
      </w:r>
      <w:r>
        <w:rPr>
          <w:b/>
          <w:i/>
          <w:iCs/>
          <w:sz w:val="24"/>
          <w:szCs w:val="24"/>
        </w:rPr>
      </w:r>
      <w:r>
        <w:rPr>
          <w:b/>
          <w:i/>
          <w:iCs/>
          <w:sz w:val="24"/>
          <w:szCs w:val="24"/>
        </w:rPr>
      </w:r>
    </w:p>
    <w:p>
      <w:pPr>
        <w:pStyle w:val="1078"/>
        <w:numPr>
          <w:ilvl w:val="0"/>
          <w:numId w:val="16"/>
        </w:numPr>
        <w:contextualSpacing w:val="0"/>
        <w:ind w:left="426" w:hanging="437"/>
        <w:jc w:val="both"/>
        <w:spacing w:before="0" w:after="60"/>
        <w:rPr>
          <w:sz w:val="24"/>
          <w:szCs w:val="24"/>
        </w:rPr>
      </w:pPr>
      <w:r>
        <w:rPr>
          <w:rStyle w:val="1002"/>
          <w:b w:val="0"/>
          <w:bCs/>
          <w:i/>
          <w:iCs/>
          <w:sz w:val="24"/>
          <w:szCs w:val="24"/>
          <w:shd w:val="clear" w:color="auto" w:fill="auto"/>
        </w:rPr>
        <w:t xml:space="preserve">Техническое предложение, подготовленное в соответствии с настоящими ТТ по форме, представленной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tabs>
          <w:tab w:val="clear" w:pos="720" w:leader="none"/>
          <w:tab w:val="left" w:pos="1666" w:leader="none"/>
          <w:tab w:val="center" w:pos="7639" w:leader="none"/>
        </w:tabs>
        <w:rPr>
          <w:b/>
          <w:i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961"/>
        <w:numPr>
          <w:ilvl w:val="0"/>
          <w:numId w:val="3"/>
        </w:numPr>
        <w:ind w:left="357" w:hanging="357"/>
        <w:jc w:val="center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127" w:name="_Toc25"/>
      <w:r>
        <w:rPr>
          <w:sz w:val="24"/>
          <w:szCs w:val="24"/>
          <w:lang w:val="ru-RU"/>
        </w:rPr>
        <w:t xml:space="preserve">Требования к документации по ценообразованию</w:t>
      </w:r>
      <w:r>
        <w:rPr>
          <w:sz w:val="24"/>
          <w:szCs w:val="24"/>
          <w:lang w:val="ru-RU"/>
        </w:rPr>
        <w:t xml:space="preserve"> на этапе закупки</w:t>
      </w:r>
      <w:r>
        <w:rPr>
          <w:sz w:val="24"/>
          <w:szCs w:val="24"/>
        </w:rPr>
      </w:r>
      <w:bookmarkEnd w:id="1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numPr>
          <w:ilvl w:val="1"/>
          <w:numId w:val="3"/>
        </w:numPr>
        <w:jc w:val="both"/>
        <w:spacing w:before="0"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должен предоставить Коммерческое предложение по форме (с учетом прилагаемой к ней инструкции по заполнению), </w:t>
      </w:r>
      <w:r>
        <w:rPr>
          <w:bCs/>
          <w:i/>
          <w:iCs/>
          <w:sz w:val="24"/>
          <w:szCs w:val="24"/>
          <w:shd w:val="clear" w:color="auto" w:fill="auto"/>
        </w:rPr>
        <w:t xml:space="preserve">приведенной в Документации о закупке.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pStyle w:val="960"/>
        <w:jc w:val="both"/>
        <w:spacing w:before="0" w:after="240"/>
        <w:rPr>
          <w:rStyle w:val="1002"/>
          <w:b w:val="0"/>
          <w:bCs/>
          <w:iCs/>
          <w:sz w:val="24"/>
          <w:szCs w:val="24"/>
          <w:shd w:val="clear" w:color="auto" w:fill="auto"/>
        </w:rPr>
      </w:pPr>
      <w:r>
        <w:rPr>
          <w:b w:val="0"/>
          <w:bCs/>
          <w:iCs/>
          <w:sz w:val="24"/>
          <w:szCs w:val="24"/>
          <w:shd w:val="clear" w:color="auto" w:fill="auto"/>
        </w:rPr>
      </w:r>
      <w:r>
        <w:rPr>
          <w:rStyle w:val="1002"/>
          <w:b w:val="0"/>
          <w:bCs/>
          <w:iCs/>
          <w:sz w:val="24"/>
          <w:szCs w:val="24"/>
          <w:shd w:val="clear" w:color="auto" w:fill="auto"/>
        </w:rPr>
      </w:r>
      <w:r>
        <w:rPr>
          <w:rStyle w:val="1002"/>
          <w:b w:val="0"/>
          <w:bCs/>
          <w:iCs/>
          <w:sz w:val="24"/>
          <w:szCs w:val="24"/>
          <w:shd w:val="clear" w:color="auto" w:fill="auto"/>
        </w:rPr>
      </w:r>
    </w:p>
    <w:p>
      <w:pPr>
        <w:pStyle w:val="961"/>
        <w:numPr>
          <w:ilvl w:val="0"/>
          <w:numId w:val="0"/>
        </w:numPr>
        <w:ind w:left="357" w:firstLine="0"/>
        <w:keepLines/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960"/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961"/>
        <w:numPr>
          <w:ilvl w:val="0"/>
          <w:numId w:val="3"/>
        </w:numPr>
        <w:ind w:left="357" w:hanging="357"/>
        <w:jc w:val="center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128" w:name="_Toc26"/>
      <w:r>
        <w:rPr>
          <w:sz w:val="24"/>
          <w:szCs w:val="24"/>
          <w:lang w:val="ru-RU"/>
        </w:rPr>
        <w:t xml:space="preserve">Требования к документации по ценообразованию на этапе заключения (исполнения) договора</w:t>
      </w:r>
      <w:r>
        <w:rPr>
          <w:sz w:val="24"/>
          <w:szCs w:val="24"/>
        </w:rPr>
      </w:r>
      <w:bookmarkEnd w:id="1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numPr>
          <w:ilvl w:val="0"/>
          <w:numId w:val="0"/>
        </w:numPr>
        <w:ind w:left="720" w:firstLine="0"/>
        <w:jc w:val="both"/>
        <w:spacing w:before="60" w:after="240"/>
        <w:rPr>
          <w:sz w:val="24"/>
          <w:szCs w:val="24"/>
        </w:rPr>
      </w:pPr>
      <w:r>
        <w:rPr>
          <w:rStyle w:val="1002"/>
          <w:b w:val="0"/>
          <w:bCs/>
          <w:i/>
          <w:iCs/>
          <w:sz w:val="24"/>
          <w:szCs w:val="24"/>
          <w:shd w:val="clear" w:color="auto" w:fill="auto"/>
        </w:rPr>
        <w:t xml:space="preserve">В рамках реализации договора необходимо составлять и оформлять сметную документацию в обоснование стоимости работ по монтажу поставляемого оборудования с требованиями, указанными в приложении № 2 к настоящим Техническим требованиям.»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left="357" w:firstLine="0"/>
        <w:keepLines/>
        <w:rPr>
          <w:iCs/>
          <w:sz w:val="24"/>
          <w:szCs w:val="24"/>
          <w:highlight w:val="none"/>
          <w:shd w:val="clear" w:color="auto" w:fill="auto"/>
        </w:rPr>
      </w:pPr>
      <w:r>
        <w:rPr>
          <w:iCs/>
          <w:sz w:val="24"/>
          <w:szCs w:val="24"/>
          <w:shd w:val="clear" w:color="auto" w:fill="auto"/>
        </w:rPr>
      </w:r>
      <w:r>
        <w:rPr>
          <w:iCs/>
          <w:sz w:val="24"/>
          <w:szCs w:val="24"/>
          <w:highlight w:val="none"/>
          <w:shd w:val="clear" w:color="auto" w:fill="auto"/>
        </w:rPr>
      </w:r>
      <w:r>
        <w:rPr>
          <w:iCs/>
          <w:sz w:val="24"/>
          <w:szCs w:val="24"/>
          <w:highlight w:val="none"/>
          <w:shd w:val="clear" w:color="auto" w:fill="auto"/>
        </w:rPr>
      </w:r>
    </w:p>
    <w:p>
      <w:pPr>
        <w:pStyle w:val="960"/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961"/>
        <w:numPr>
          <w:ilvl w:val="0"/>
          <w:numId w:val="3"/>
        </w:numPr>
        <w:ind w:left="357" w:hanging="357"/>
        <w:jc w:val="center"/>
        <w:keepLines/>
        <w:rPr>
          <w:iCs/>
          <w:caps/>
          <w:sz w:val="24"/>
          <w:szCs w:val="24"/>
        </w:rPr>
      </w:pPr>
      <w:r>
        <w:rPr>
          <w:sz w:val="24"/>
          <w:szCs w:val="24"/>
        </w:rPr>
      </w:r>
      <w:bookmarkStart w:id="129" w:name="_Toc27"/>
      <w:r>
        <w:rPr>
          <w:iCs/>
          <w:sz w:val="24"/>
          <w:szCs w:val="24"/>
        </w:rPr>
        <w:t xml:space="preserve">Приложения</w:t>
      </w:r>
      <w:r>
        <w:rPr>
          <w:iCs/>
          <w:caps/>
          <w:sz w:val="24"/>
          <w:szCs w:val="24"/>
        </w:rPr>
      </w:r>
      <w:bookmarkEnd w:id="129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960"/>
        <w:jc w:val="both"/>
        <w:spacing w:before="60" w:after="0"/>
        <w:widowControl w:val="off"/>
        <w:tabs>
          <w:tab w:val="left" w:pos="426" w:leader="none"/>
          <w:tab w:val="clear" w:pos="720" w:leader="none"/>
        </w:tabs>
        <w:rPr>
          <w:sz w:val="24"/>
          <w:szCs w:val="24"/>
        </w:rPr>
      </w:pPr>
      <w:r>
        <w:rPr>
          <w:rStyle w:val="1002"/>
          <w:b w:val="0"/>
          <w:bCs/>
          <w:iCs/>
          <w:sz w:val="24"/>
          <w:szCs w:val="24"/>
          <w:shd w:val="clear" w:color="auto" w:fill="auto"/>
        </w:rPr>
        <w:t xml:space="preserve">Приложение №1: Положение о допуске персонала подрядных организаций к выполнению работ на объектах АО «ДГК» 22.1-504-2023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jc w:val="both"/>
        <w:spacing w:before="60" w:after="0"/>
        <w:widowControl w:val="off"/>
        <w:tabs>
          <w:tab w:val="left" w:pos="426" w:leader="none"/>
          <w:tab w:val="clear" w:pos="720" w:leader="none"/>
        </w:tabs>
        <w:rPr>
          <w:sz w:val="24"/>
          <w:szCs w:val="24"/>
        </w:rPr>
      </w:pPr>
      <w:r>
        <w:rPr>
          <w:rStyle w:val="1002"/>
          <w:b w:val="0"/>
          <w:bCs/>
          <w:iCs/>
          <w:sz w:val="24"/>
          <w:szCs w:val="24"/>
          <w:shd w:val="clear" w:color="auto" w:fill="auto"/>
        </w:rPr>
        <w:t xml:space="preserve">Приложение</w:t>
      </w:r>
      <w:r>
        <w:rPr>
          <w:rStyle w:val="1002"/>
          <w:rFonts w:eastAsia="Times New Roman" w:cs="Times New Roman"/>
          <w:b w:val="0"/>
          <w:bCs/>
          <w:iCs/>
          <w:color w:val="000000"/>
          <w:sz w:val="24"/>
          <w:szCs w:val="24"/>
          <w:shd w:val="clear" w:color="auto" w:fill="auto"/>
          <w:lang w:val="ru-RU" w:eastAsia="ru-RU" w:bidi="ar-SA"/>
        </w:rPr>
        <w:t xml:space="preserve"> №2: Требования к оформлению и составлению сметной документации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B0502040504020204"/>
  </w:font>
  <w:font w:name="Symbol">
    <w:panose1 w:val="05010000000000000000"/>
  </w:font>
  <w:font w:name="Garamond">
    <w:panose1 w:val="02020603050405020304"/>
  </w:font>
  <w:font w:name="Calibri Light (Заголовки)">
    <w:panose1 w:val="020F0502020204030204"/>
  </w:font>
  <w:font w:name="Verdana">
    <w:panose1 w:val="020B0604030504040204"/>
  </w:font>
  <w:font w:name="Tahoma">
    <w:panose1 w:val="020B0604030504040204"/>
  </w:font>
  <w:font w:name="Noto Sans CJK SC">
    <w:panose1 w:val="020B0502040504020204"/>
  </w:font>
  <w:font w:name="Liberation Sans">
    <w:panose1 w:val="020B0604020202020204"/>
  </w:font>
  <w:font w:name="Wingdings">
    <w:panose1 w:val="05010000000000000000"/>
  </w:font>
  <w:font w:name="Segoe UI">
    <w:panose1 w:val="020B0503020204020204"/>
  </w:font>
  <w:font w:name="OpenSymbol">
    <w:panose1 w:val="05010000000000000000"/>
  </w:font>
  <w:font w:name="Courier New">
    <w:panose1 w:val="020703090202050204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051"/>
                            <w:rPr>
                              <w:rStyle w:val="973"/>
                            </w:rPr>
                          </w:pPr>
                          <w:r>
                            <w:rPr>
                              <w:rStyle w:val="97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97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97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973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973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973"/>
                            </w:rPr>
                          </w:r>
                          <w:r>
                            <w:rPr>
                              <w:rStyle w:val="973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51"/>
                      <w:rPr>
                        <w:rStyle w:val="973"/>
                      </w:rPr>
                    </w:pPr>
                    <w:r>
                      <w:rPr>
                        <w:rStyle w:val="973"/>
                        <w:color w:val="000000"/>
                      </w:rPr>
                      <w:fldChar w:fldCharType="begin"/>
                    </w:r>
                    <w:r>
                      <w:rPr>
                        <w:rStyle w:val="97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973"/>
                        <w:color w:val="000000"/>
                      </w:rPr>
                      <w:fldChar w:fldCharType="separate"/>
                    </w:r>
                    <w:r>
                      <w:rPr>
                        <w:rStyle w:val="973"/>
                        <w:color w:val="000000"/>
                      </w:rPr>
                      <w:t xml:space="preserve">0</w:t>
                    </w:r>
                    <w:r>
                      <w:rPr>
                        <w:rStyle w:val="973"/>
                        <w:color w:val="000000"/>
                      </w:rPr>
                      <w:fldChar w:fldCharType="end"/>
                    </w:r>
                    <w:r>
                      <w:rPr>
                        <w:rStyle w:val="973"/>
                      </w:rPr>
                    </w:r>
                    <w:r>
                      <w:rPr>
                        <w:rStyle w:val="97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4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86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8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8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963"/>
      <w:isLgl w:val="false"/>
      <w:suff w:val="tab"/>
      <w:lvlText w:val="%3."/>
      <w:lvlJc w:val="left"/>
      <w:pPr>
        <w:ind w:left="1224" w:hanging="504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96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97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100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98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9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103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i/>
        <w:iCs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1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2.%1.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2.%2.1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7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5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49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1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2.%1.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pStyle w:val="961"/>
      <w:isLgl w:val="false"/>
      <w:suff w:val="tab"/>
      <w:lvlText w:val="%1."/>
      <w:lvlJc w:val="left"/>
      <w:pPr>
        <w:ind w:left="432" w:hanging="432"/>
      </w:pPr>
    </w:lvl>
    <w:lvl w:ilvl="1">
      <w:start w:val="1"/>
      <w:numFmt w:val="decimal"/>
      <w:pStyle w:val="962"/>
      <w:isLgl w:val="false"/>
      <w:suff w:val="tab"/>
      <w:lvlText w:val="%1.%2."/>
      <w:lvlJc w:val="left"/>
      <w:pPr>
        <w:ind w:left="576" w:hanging="576"/>
      </w:pPr>
    </w:lvl>
    <w:lvl w:ilvl="2">
      <w:start w:val="1"/>
      <w:numFmt w:val="decimal"/>
      <w:pStyle w:val="963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pStyle w:val="964"/>
      <w:isLgl w:val="false"/>
      <w:suff w:val="tab"/>
      <w:lvlText w:val="%1.%2.%3.%4."/>
      <w:lvlJc w:val="left"/>
      <w:pPr>
        <w:ind w:left="864" w:hanging="864"/>
      </w:pPr>
    </w:lvl>
    <w:lvl w:ilvl="4">
      <w:start w:val="1"/>
      <w:numFmt w:val="decimal"/>
      <w:pStyle w:val="965"/>
      <w:isLgl w:val="false"/>
      <w:suff w:val="tab"/>
      <w:lvlText w:val="%1.%2.%3.%4.%5."/>
      <w:lvlJc w:val="left"/>
      <w:pPr>
        <w:ind w:left="1008" w:hanging="1008"/>
      </w:pPr>
    </w:lvl>
    <w:lvl w:ilvl="5">
      <w:start w:val="1"/>
      <w:numFmt w:val="decimal"/>
      <w:pStyle w:val="966"/>
      <w:isLgl w:val="false"/>
      <w:suff w:val="tab"/>
      <w:lvlText w:val="%1.%2.%3.%4.%5.%6."/>
      <w:lvlJc w:val="left"/>
      <w:pPr>
        <w:ind w:left="1152" w:hanging="1152"/>
      </w:pPr>
    </w:lvl>
    <w:lvl w:ilvl="6">
      <w:start w:val="1"/>
      <w:numFmt w:val="decimal"/>
      <w:pStyle w:val="967"/>
      <w:isLgl w:val="false"/>
      <w:suff w:val="tab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968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969"/>
      <w:isLgl w:val="false"/>
      <w:suff w:val="tab"/>
      <w:lvlText w:val="%1.%2.%3.%4.%5.%6.%7.%8.%9."/>
      <w:lvlJc w:val="left"/>
      <w:pPr>
        <w:ind w:left="1584" w:hanging="1584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1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%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2"/>
      <w:numFmt w:val="decimal"/>
      <w:pStyle w:val="961"/>
      <w:isLgl w:val="false"/>
      <w:suff w:val="tab"/>
      <w:lvlText w:val="%1."/>
      <w:lvlJc w:val="left"/>
      <w:pPr>
        <w:ind w:left="432" w:hanging="432"/>
      </w:pPr>
    </w:lvl>
    <w:lvl w:ilvl="1">
      <w:start w:val="1"/>
      <w:numFmt w:val="decimal"/>
      <w:pStyle w:val="962"/>
      <w:isLgl w:val="false"/>
      <w:suff w:val="tab"/>
      <w:lvlText w:val="%1.%2."/>
      <w:lvlJc w:val="left"/>
      <w:pPr>
        <w:ind w:left="576" w:hanging="576"/>
      </w:pPr>
    </w:lvl>
    <w:lvl w:ilvl="2">
      <w:start w:val="1"/>
      <w:numFmt w:val="decimal"/>
      <w:pStyle w:val="963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pStyle w:val="964"/>
      <w:isLgl w:val="false"/>
      <w:suff w:val="tab"/>
      <w:lvlText w:val="%1.%2.%3.%4."/>
      <w:lvlJc w:val="left"/>
      <w:pPr>
        <w:ind w:left="864" w:hanging="864"/>
      </w:pPr>
    </w:lvl>
    <w:lvl w:ilvl="4">
      <w:start w:val="1"/>
      <w:numFmt w:val="decimal"/>
      <w:pStyle w:val="965"/>
      <w:isLgl w:val="false"/>
      <w:suff w:val="tab"/>
      <w:lvlText w:val="%1.%2.%3.%4.%5."/>
      <w:lvlJc w:val="left"/>
      <w:pPr>
        <w:ind w:left="1008" w:hanging="1008"/>
      </w:pPr>
    </w:lvl>
    <w:lvl w:ilvl="5">
      <w:start w:val="1"/>
      <w:numFmt w:val="decimal"/>
      <w:pStyle w:val="966"/>
      <w:isLgl w:val="false"/>
      <w:suff w:val="tab"/>
      <w:lvlText w:val="%1.%2.%3.%4.%5.%6."/>
      <w:lvlJc w:val="left"/>
      <w:pPr>
        <w:ind w:left="1152" w:hanging="1152"/>
      </w:pPr>
    </w:lvl>
    <w:lvl w:ilvl="6">
      <w:start w:val="1"/>
      <w:numFmt w:val="decimal"/>
      <w:pStyle w:val="967"/>
      <w:isLgl w:val="false"/>
      <w:suff w:val="tab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968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969"/>
      <w:isLgl w:val="false"/>
      <w:suff w:val="tab"/>
      <w:lvlText w:val="%1.%2.%3.%4.%5.%6.%7.%8.%9.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4">
    <w:name w:val="Title"/>
    <w:basedOn w:val="960"/>
    <w:next w:val="960"/>
    <w:link w:val="1030"/>
    <w:uiPriority w:val="10"/>
    <w:qFormat/>
    <w:pPr>
      <w:contextualSpacing/>
      <w:spacing w:before="300" w:after="200"/>
    </w:pPr>
    <w:rPr>
      <w:sz w:val="48"/>
      <w:szCs w:val="48"/>
    </w:rPr>
  </w:style>
  <w:style w:type="table" w:styleId="835">
    <w:name w:val="Table Grid Light"/>
    <w:basedOn w:val="11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Plain Table 1"/>
    <w:basedOn w:val="11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11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>
    <w:name w:val="Grid Table 4 - Accent 1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4">
    <w:name w:val="Grid Table 4 - Accent 2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Grid Table 4 - Accent 3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6">
    <w:name w:val="Grid Table 4 - Accent 4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Grid Table 4 - Accent 5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8">
    <w:name w:val="Grid Table 4 - Accent 6"/>
    <w:basedOn w:val="11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9">
    <w:name w:val="Grid Table 5 Dark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3">
    <w:name w:val="Grid Table 5 Dark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6">
    <w:name w:val="Grid Table 6 Colorful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7">
    <w:name w:val="Grid Table 6 Colorful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8">
    <w:name w:val="Grid Table 6 Colorful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9">
    <w:name w:val="Grid Table 6 Colorful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0">
    <w:name w:val="Grid Table 6 Colorful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1">
    <w:name w:val="Grid Table 6 Colorful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2">
    <w:name w:val="Grid Table 6 Colorful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3">
    <w:name w:val="Grid Table 7 Colorful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8">
    <w:name w:val="List Table 2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9">
    <w:name w:val="List Table 2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0">
    <w:name w:val="List Table 2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1">
    <w:name w:val="List Table 2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2">
    <w:name w:val="List Table 2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3">
    <w:name w:val="List Table 2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6 Colorful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6">
    <w:name w:val="List Table 6 Colorful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7">
    <w:name w:val="List Table 6 Colorful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8">
    <w:name w:val="List Table 6 Colorful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9">
    <w:name w:val="List Table 6 Colorful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0">
    <w:name w:val="List Table 6 Colorful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1">
    <w:name w:val="List Table 6 Colorful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2">
    <w:name w:val="List Table 7 Colorful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3">
    <w:name w:val="List Table 7 Colorful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34">
    <w:name w:val="List Table 7 Colorful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5">
    <w:name w:val="List Table 7 Colorful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6">
    <w:name w:val="List Table 7 Colorful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7">
    <w:name w:val="List Table 7 Colorful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38">
    <w:name w:val="List Table 7 Colorful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9">
    <w:name w:val="Lined - Accent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0">
    <w:name w:val="Lined - Accent 1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1">
    <w:name w:val="Lined - Accent 2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2">
    <w:name w:val="Lined - Accent 3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3">
    <w:name w:val="Lined - Accent 4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4">
    <w:name w:val="Lined - Accent 5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5">
    <w:name w:val="Lined - Accent 6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6">
    <w:name w:val="Bordered &amp; Lined - Accent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7">
    <w:name w:val="Bordered &amp; Lined - Accent 1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8">
    <w:name w:val="Bordered &amp; Lined - Accent 2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9">
    <w:name w:val="Bordered &amp; Lined - Accent 3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0">
    <w:name w:val="Bordered &amp; Lined - Accent 4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1">
    <w:name w:val="Bordered &amp; Lined - Accent 5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52">
    <w:name w:val="Bordered &amp; Lined - Accent 6"/>
    <w:basedOn w:val="11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3">
    <w:name w:val="Bordered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4">
    <w:name w:val="Bordered - Accent 1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5">
    <w:name w:val="Bordered - Accent 2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6">
    <w:name w:val="Bordered - Accent 3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7">
    <w:name w:val="Bordered - Accent 4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8">
    <w:name w:val="Bordered - Accent 5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9">
    <w:name w:val="Bordered - Accent 6"/>
    <w:basedOn w:val="11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60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961">
    <w:name w:val="Heading 1"/>
    <w:basedOn w:val="963"/>
    <w:next w:val="960"/>
    <w:link w:val="980"/>
    <w:qFormat/>
    <w:pPr>
      <w:numPr>
        <w:ilvl w:val="0"/>
        <w:numId w:val="36"/>
      </w:numPr>
      <w:outlineLvl w:val="0"/>
    </w:pPr>
    <w:rPr>
      <w:sz w:val="28"/>
      <w:szCs w:val="28"/>
    </w:rPr>
  </w:style>
  <w:style w:type="paragraph" w:styleId="962">
    <w:name w:val="Heading 2"/>
    <w:basedOn w:val="964"/>
    <w:next w:val="960"/>
    <w:link w:val="981"/>
    <w:qFormat/>
    <w:pPr>
      <w:numPr>
        <w:ilvl w:val="1"/>
        <w:numId w:val="36"/>
      </w:numPr>
      <w:outlineLvl w:val="1"/>
    </w:pPr>
  </w:style>
  <w:style w:type="paragraph" w:styleId="963">
    <w:name w:val="Heading 3"/>
    <w:basedOn w:val="960"/>
    <w:next w:val="960"/>
    <w:link w:val="982"/>
    <w:qFormat/>
    <w:pPr>
      <w:numPr>
        <w:ilvl w:val="2"/>
        <w:numId w:val="36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4">
    <w:name w:val="Heading 4"/>
    <w:basedOn w:val="963"/>
    <w:next w:val="960"/>
    <w:link w:val="983"/>
    <w:qFormat/>
    <w:pPr>
      <w:numPr>
        <w:ilvl w:val="3"/>
        <w:numId w:val="36"/>
      </w:numPr>
      <w:outlineLvl w:val="3"/>
    </w:pPr>
    <w:rPr>
      <w:bCs/>
    </w:rPr>
  </w:style>
  <w:style w:type="paragraph" w:styleId="965">
    <w:name w:val="Heading 5"/>
    <w:basedOn w:val="960"/>
    <w:next w:val="960"/>
    <w:link w:val="984"/>
    <w:uiPriority w:val="9"/>
    <w:qFormat/>
    <w:pPr>
      <w:numPr>
        <w:ilvl w:val="4"/>
        <w:numId w:val="3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6">
    <w:name w:val="Heading 6"/>
    <w:basedOn w:val="960"/>
    <w:next w:val="960"/>
    <w:link w:val="977"/>
    <w:uiPriority w:val="9"/>
    <w:qFormat/>
    <w:pPr>
      <w:numPr>
        <w:ilvl w:val="5"/>
        <w:numId w:val="36"/>
      </w:num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7">
    <w:name w:val="Heading 7"/>
    <w:basedOn w:val="960"/>
    <w:next w:val="960"/>
    <w:link w:val="978"/>
    <w:uiPriority w:val="9"/>
    <w:qFormat/>
    <w:pPr>
      <w:numPr>
        <w:ilvl w:val="6"/>
        <w:numId w:val="36"/>
      </w:num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8">
    <w:name w:val="Heading 8"/>
    <w:basedOn w:val="960"/>
    <w:next w:val="960"/>
    <w:link w:val="979"/>
    <w:uiPriority w:val="9"/>
    <w:qFormat/>
    <w:pPr>
      <w:numPr>
        <w:ilvl w:val="7"/>
        <w:numId w:val="36"/>
      </w:num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69">
    <w:name w:val="Heading 9"/>
    <w:basedOn w:val="960"/>
    <w:next w:val="960"/>
    <w:link w:val="985"/>
    <w:uiPriority w:val="9"/>
    <w:qFormat/>
    <w:pPr>
      <w:numPr>
        <w:ilvl w:val="8"/>
        <w:numId w:val="3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970" w:default="1">
    <w:name w:val="Default Paragraph Font"/>
    <w:uiPriority w:val="1"/>
    <w:semiHidden/>
    <w:unhideWhenUsed/>
    <w:qFormat/>
  </w:style>
  <w:style w:type="character" w:styleId="971">
    <w:name w:val="Символ сноски"/>
    <w:qFormat/>
    <w:rPr>
      <w:vertAlign w:val="superscript"/>
    </w:rPr>
  </w:style>
  <w:style w:type="character" w:styleId="972">
    <w:name w:val="footnote reference"/>
    <w:rPr>
      <w:vertAlign w:val="superscript"/>
    </w:rPr>
  </w:style>
  <w:style w:type="character" w:styleId="973">
    <w:name w:val="page number"/>
    <w:basedOn w:val="970"/>
    <w:qFormat/>
  </w:style>
  <w:style w:type="character" w:styleId="974">
    <w:name w:val="Hyperlink"/>
    <w:uiPriority w:val="99"/>
    <w:rPr>
      <w:color w:val="0000ff"/>
      <w:u w:val="single"/>
    </w:rPr>
  </w:style>
  <w:style w:type="character" w:styleId="975">
    <w:name w:val="annotation reference"/>
    <w:uiPriority w:val="99"/>
    <w:semiHidden/>
    <w:qFormat/>
    <w:rPr>
      <w:sz w:val="16"/>
      <w:szCs w:val="16"/>
    </w:rPr>
  </w:style>
  <w:style w:type="character" w:styleId="976">
    <w:name w:val="Strong"/>
    <w:uiPriority w:val="22"/>
    <w:qFormat/>
    <w:rPr>
      <w:b/>
      <w:bCs/>
    </w:rPr>
  </w:style>
  <w:style w:type="character" w:styleId="977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78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79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80" w:customStyle="1">
    <w:name w:val="Заголовок 1 Знак"/>
    <w:qFormat/>
    <w:rPr>
      <w:rFonts w:eastAsia="Calibri"/>
      <w:b/>
      <w:sz w:val="28"/>
      <w:szCs w:val="28"/>
    </w:rPr>
  </w:style>
  <w:style w:type="character" w:styleId="981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82" w:customStyle="1">
    <w:name w:val="Заголовок 3 Знак"/>
    <w:qFormat/>
    <w:rPr>
      <w:rFonts w:eastAsia="Calibri"/>
      <w:b/>
      <w:sz w:val="24"/>
      <w:szCs w:val="24"/>
    </w:rPr>
  </w:style>
  <w:style w:type="character" w:styleId="983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84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85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86" w:customStyle="1">
    <w:name w:val="Название Знак"/>
    <w:link w:val="1049"/>
    <w:uiPriority w:val="10"/>
    <w:qFormat/>
    <w:rPr>
      <w:sz w:val="28"/>
    </w:rPr>
  </w:style>
  <w:style w:type="character" w:styleId="987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88">
    <w:name w:val="Emphasis"/>
    <w:uiPriority w:val="20"/>
    <w:qFormat/>
    <w:rPr>
      <w:i/>
      <w:iCs/>
    </w:rPr>
  </w:style>
  <w:style w:type="character" w:styleId="989" w:customStyle="1">
    <w:name w:val="Цитата 2 Знак"/>
    <w:link w:val="1079"/>
    <w:uiPriority w:val="29"/>
    <w:qFormat/>
    <w:rPr>
      <w:rFonts w:ascii="Calibri" w:hAnsi="Calibri" w:eastAsia="Calibri"/>
      <w:i/>
      <w:iCs/>
      <w:color w:val="000000"/>
    </w:rPr>
  </w:style>
  <w:style w:type="character" w:styleId="990" w:customStyle="1">
    <w:name w:val="Выделенная цитата Знак"/>
    <w:link w:val="1080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91">
    <w:name w:val="Subtle Emphasis"/>
    <w:uiPriority w:val="19"/>
    <w:qFormat/>
    <w:rPr>
      <w:i/>
      <w:iCs/>
      <w:color w:val="808080"/>
    </w:rPr>
  </w:style>
  <w:style w:type="character" w:styleId="992">
    <w:name w:val="Intense Emphasis"/>
    <w:uiPriority w:val="21"/>
    <w:qFormat/>
    <w:rPr>
      <w:b/>
      <w:bCs/>
      <w:i/>
      <w:iCs/>
      <w:color w:val="4f81bd"/>
    </w:rPr>
  </w:style>
  <w:style w:type="character" w:styleId="993">
    <w:name w:val="Subtle Reference"/>
    <w:uiPriority w:val="31"/>
    <w:qFormat/>
    <w:rPr>
      <w:smallCaps/>
      <w:color w:val="c0504d"/>
      <w:u w:val="single"/>
    </w:rPr>
  </w:style>
  <w:style w:type="character" w:styleId="99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95">
    <w:name w:val="Book Title"/>
    <w:uiPriority w:val="33"/>
    <w:qFormat/>
    <w:rPr>
      <w:b/>
      <w:bCs/>
      <w:smallCaps/>
      <w:spacing w:val="5"/>
    </w:rPr>
  </w:style>
  <w:style w:type="character" w:styleId="996" w:customStyle="1">
    <w:name w:val="Электронная подпись Знак"/>
    <w:link w:val="1083"/>
    <w:uiPriority w:val="99"/>
    <w:qFormat/>
    <w:rPr>
      <w:rFonts w:eastAsia="Calibri"/>
      <w:sz w:val="24"/>
      <w:szCs w:val="24"/>
    </w:rPr>
  </w:style>
  <w:style w:type="character" w:styleId="997" w:customStyle="1">
    <w:name w:val="Подпункт Знак1"/>
    <w:link w:val="1059"/>
    <w:qFormat/>
    <w:rPr>
      <w:sz w:val="28"/>
    </w:rPr>
  </w:style>
  <w:style w:type="character" w:styleId="998" w:customStyle="1">
    <w:name w:val="Текст сноски Знак"/>
    <w:qFormat/>
  </w:style>
  <w:style w:type="character" w:styleId="999" w:customStyle="1">
    <w:name w:val="Основной текст Знак"/>
    <w:qFormat/>
    <w:rPr>
      <w:sz w:val="28"/>
      <w:szCs w:val="28"/>
    </w:rPr>
  </w:style>
  <w:style w:type="character" w:styleId="1000" w:customStyle="1">
    <w:name w:val="blk"/>
    <w:qFormat/>
  </w:style>
  <w:style w:type="character" w:styleId="1001" w:customStyle="1">
    <w:name w:val="Абзац списка Знак"/>
    <w:link w:val="1078"/>
    <w:uiPriority w:val="34"/>
    <w:qFormat/>
    <w:rPr>
      <w:rFonts w:eastAsia="Calibri"/>
      <w:sz w:val="24"/>
      <w:szCs w:val="24"/>
    </w:rPr>
  </w:style>
  <w:style w:type="character" w:styleId="1002" w:customStyle="1">
    <w:name w:val="комментарий"/>
    <w:qFormat/>
    <w:rPr>
      <w:b/>
      <w:i/>
      <w:shd w:val="clear" w:color="auto" w:fill="ffff99"/>
    </w:rPr>
  </w:style>
  <w:style w:type="character" w:styleId="1003" w:customStyle="1">
    <w:name w:val="Подподпункт Знак"/>
    <w:link w:val="1095"/>
    <w:qFormat/>
    <w:rPr>
      <w:sz w:val="26"/>
      <w:szCs w:val="26"/>
    </w:rPr>
  </w:style>
  <w:style w:type="character" w:styleId="1004" w:customStyle="1">
    <w:name w:val="УРОВЕНЬ_Абзац_тип3 Знак"/>
    <w:link w:val="1099"/>
    <w:qFormat/>
    <w:rPr>
      <w:rFonts w:eastAsia="Calibri"/>
      <w:sz w:val="26"/>
      <w:szCs w:val="28"/>
      <w:lang w:eastAsia="en-US"/>
    </w:rPr>
  </w:style>
  <w:style w:type="character" w:styleId="1005" w:customStyle="1">
    <w:name w:val="Верхний колонтитул Знак"/>
    <w:uiPriority w:val="99"/>
    <w:qFormat/>
    <w:rPr>
      <w:sz w:val="24"/>
      <w:szCs w:val="24"/>
    </w:rPr>
  </w:style>
  <w:style w:type="character" w:styleId="1006" w:customStyle="1">
    <w:name w:val="Текст примечания Знак"/>
    <w:link w:val="1067"/>
    <w:qFormat/>
  </w:style>
  <w:style w:type="character" w:styleId="1007" w:customStyle="1">
    <w:name w:val="Текст концевой сноски Знак"/>
    <w:basedOn w:val="970"/>
    <w:qFormat/>
  </w:style>
  <w:style w:type="character" w:styleId="1008">
    <w:name w:val="Символ концевой сноски"/>
    <w:qFormat/>
    <w:rPr>
      <w:vertAlign w:val="superscript"/>
    </w:rPr>
  </w:style>
  <w:style w:type="character" w:styleId="1009">
    <w:name w:val="endnote reference"/>
    <w:rPr>
      <w:vertAlign w:val="superscript"/>
    </w:rPr>
  </w:style>
  <w:style w:type="character" w:styleId="1010" w:customStyle="1">
    <w:name w:val="Пункт2 Знак"/>
    <w:link w:val="1060"/>
    <w:qFormat/>
    <w:rPr>
      <w:b/>
      <w:sz w:val="28"/>
    </w:rPr>
  </w:style>
  <w:style w:type="character" w:styleId="1011" w:customStyle="1">
    <w:name w:val="УРОВЕНЬ_1. Знак"/>
    <w:link w:val="1106"/>
    <w:qFormat/>
    <w:rPr>
      <w:rFonts w:eastAsia="Calibri"/>
      <w:caps/>
      <w:sz w:val="28"/>
      <w:szCs w:val="28"/>
      <w:lang w:eastAsia="en-US"/>
    </w:rPr>
  </w:style>
  <w:style w:type="character" w:styleId="1012" w:customStyle="1">
    <w:name w:val="Неразрешенное упоминание1"/>
    <w:basedOn w:val="970"/>
    <w:uiPriority w:val="99"/>
    <w:semiHidden/>
    <w:unhideWhenUsed/>
    <w:qFormat/>
    <w:rPr>
      <w:color w:val="605e5c"/>
      <w:shd w:val="clear" w:color="auto" w:fill="e1dfdd"/>
    </w:rPr>
  </w:style>
  <w:style w:type="character" w:styleId="1013">
    <w:name w:val="Ссылка указателя"/>
    <w:qFormat/>
  </w:style>
  <w:style w:type="character" w:styleId="1014">
    <w:name w:val="Символ нумерации"/>
    <w:qFormat/>
    <w:rPr>
      <w:sz w:val="24"/>
      <w:szCs w:val="24"/>
    </w:rPr>
  </w:style>
  <w:style w:type="character" w:styleId="1015">
    <w:name w:val="Маркеры"/>
    <w:qFormat/>
    <w:rPr>
      <w:rFonts w:ascii="OpenSymbol" w:hAnsi="OpenSymbol" w:eastAsia="OpenSymbol" w:cs="OpenSymbol"/>
    </w:rPr>
  </w:style>
  <w:style w:type="character" w:styleId="1016">
    <w:name w:val="Тема примечания Знак"/>
    <w:qFormat/>
    <w:rPr>
      <w:rFonts w:eastAsia="Times New Roman" w:cs="Times New Roman"/>
      <w:b/>
      <w:bCs/>
      <w:color w:val="000000"/>
      <w:sz w:val="20"/>
      <w:szCs w:val="20"/>
    </w:rPr>
  </w:style>
  <w:style w:type="character" w:styleId="1017">
    <w:name w:val="Текст выноски Знак"/>
    <w:qFormat/>
    <w:rPr>
      <w:rFonts w:ascii="Segoe UI" w:hAnsi="Segoe UI" w:eastAsia="Times New Roman" w:cs="Segoe UI"/>
      <w:color w:val="000000"/>
      <w:sz w:val="18"/>
      <w:szCs w:val="18"/>
    </w:rPr>
  </w:style>
  <w:style w:type="character" w:styleId="1018">
    <w:name w:val="Footnote Text Char"/>
    <w:qFormat/>
    <w:rPr>
      <w:sz w:val="18"/>
    </w:rPr>
  </w:style>
  <w:style w:type="character" w:styleId="1019">
    <w:name w:val="Нижний колонтитул Знак"/>
    <w:qFormat/>
  </w:style>
  <w:style w:type="character" w:styleId="1020">
    <w:name w:val="Footer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021">
    <w:name w:val="Heading 4 Char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1022">
    <w:name w:val="Heading 3 Char"/>
    <w:qFormat/>
    <w:rPr>
      <w:rFonts w:ascii="Arial" w:hAnsi="Arial" w:eastAsia="Arial" w:cs="Arial"/>
      <w:color w:val="000000"/>
      <w:sz w:val="30"/>
      <w:szCs w:val="30"/>
    </w:rPr>
  </w:style>
  <w:style w:type="character" w:styleId="1023">
    <w:name w:val="Heading 1 Char"/>
    <w:qFormat/>
    <w:rPr>
      <w:rFonts w:ascii="Arial" w:hAnsi="Arial" w:eastAsia="Arial" w:cs="Arial"/>
      <w:color w:val="000000"/>
      <w:sz w:val="40"/>
      <w:szCs w:val="40"/>
    </w:rPr>
  </w:style>
  <w:style w:type="character" w:styleId="1024">
    <w:name w:val="Endnote Text Char"/>
    <w:qFormat/>
    <w:rPr>
      <w:sz w:val="20"/>
    </w:rPr>
  </w:style>
  <w:style w:type="character" w:styleId="1025">
    <w:name w:val="Caption Char"/>
    <w:qFormat/>
  </w:style>
  <w:style w:type="character" w:styleId="1026">
    <w:name w:val="Header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027">
    <w:name w:val="Intense Quote Char"/>
    <w:qFormat/>
    <w:rPr>
      <w:i/>
    </w:rPr>
  </w:style>
  <w:style w:type="character" w:styleId="1028">
    <w:name w:val="Quote Char"/>
    <w:qFormat/>
    <w:rPr>
      <w:i/>
    </w:rPr>
  </w:style>
  <w:style w:type="character" w:styleId="1029">
    <w:name w:val="Subtitle Char"/>
    <w:qFormat/>
    <w:rPr>
      <w:rFonts w:ascii="Times New Roman" w:hAnsi="Times New Roman" w:eastAsia="Times New Roman" w:cs="Times New Roman"/>
      <w:color w:val="000000"/>
    </w:rPr>
  </w:style>
  <w:style w:type="character" w:styleId="1030">
    <w:name w:val="Title Char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1031">
    <w:name w:val="Heading 9 Char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1032">
    <w:name w:val="Heading 8 Char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1033">
    <w:name w:val="Heading 7 Char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1034">
    <w:name w:val="Heading 6 Char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1035">
    <w:name w:val="Heading 5 Char"/>
    <w:qFormat/>
    <w:rPr>
      <w:rFonts w:ascii="Arial" w:hAnsi="Arial" w:eastAsia="Arial" w:cs="Arial"/>
      <w:b/>
      <w:bCs/>
      <w:color w:val="000000"/>
    </w:rPr>
  </w:style>
  <w:style w:type="character" w:styleId="1036">
    <w:name w:val="Heading 2 Char"/>
    <w:qFormat/>
    <w:rPr>
      <w:rFonts w:ascii="Arial" w:hAnsi="Arial" w:eastAsia="Arial" w:cs="Arial"/>
      <w:color w:val="000000"/>
      <w:sz w:val="34"/>
      <w:szCs w:val="24"/>
    </w:rPr>
  </w:style>
  <w:style w:type="paragraph" w:styleId="1037">
    <w:name w:val="Заголовок"/>
    <w:basedOn w:val="960"/>
    <w:next w:val="103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1038">
    <w:name w:val="Body Text"/>
    <w:basedOn w:val="960"/>
    <w:link w:val="999"/>
    <w:pPr>
      <w:spacing w:before="0" w:after="120"/>
    </w:pPr>
  </w:style>
  <w:style w:type="paragraph" w:styleId="1039">
    <w:name w:val="List"/>
    <w:basedOn w:val="1038"/>
    <w:rPr>
      <w:rFonts w:ascii="Times New Roman" w:hAnsi="Times New Roman" w:cs="Arial Unicode MS"/>
    </w:rPr>
  </w:style>
  <w:style w:type="paragraph" w:styleId="1040">
    <w:name w:val="Caption"/>
    <w:basedOn w:val="960"/>
    <w:link w:val="1025"/>
    <w:qFormat/>
    <w:pPr>
      <w:spacing w:before="120" w:after="120"/>
      <w:suppressLineNumbers/>
    </w:pPr>
    <w:rPr>
      <w:rFonts w:ascii="Times New Roman" w:hAnsi="Times New Roman" w:cs="Arial Unicode MS"/>
      <w:i/>
      <w:iCs/>
      <w:sz w:val="24"/>
      <w:szCs w:val="24"/>
    </w:rPr>
  </w:style>
  <w:style w:type="paragraph" w:styleId="1041">
    <w:name w:val="Указатель"/>
    <w:basedOn w:val="960"/>
    <w:qFormat/>
    <w:pPr>
      <w:suppressLineNumbers/>
    </w:pPr>
    <w:rPr>
      <w:rFonts w:ascii="Times New Roman" w:hAnsi="Times New Roman" w:cs="Arial Unicode MS"/>
    </w:rPr>
  </w:style>
  <w:style w:type="paragraph" w:styleId="1042" w:customStyle="1">
    <w:name w:val="Название раздела инструкции"/>
    <w:basedOn w:val="960"/>
    <w:qFormat/>
    <w:pPr>
      <w:jc w:val="center"/>
    </w:pPr>
    <w:rPr>
      <w:b/>
    </w:rPr>
  </w:style>
  <w:style w:type="paragraph" w:styleId="1043" w:customStyle="1">
    <w:name w:val="Раздел положения"/>
    <w:basedOn w:val="960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44" w:customStyle="1">
    <w:name w:val="Подраздел раздела положения"/>
    <w:basedOn w:val="960"/>
    <w:qFormat/>
    <w:pPr>
      <w:numPr>
        <w:ilvl w:val="1"/>
        <w:numId w:val="1"/>
      </w:numPr>
      <w:jc w:val="both"/>
      <w:spacing w:before="80" w:after="80"/>
    </w:pPr>
  </w:style>
  <w:style w:type="paragraph" w:styleId="1045">
    <w:name w:val="footnote text"/>
    <w:basedOn w:val="960"/>
    <w:link w:val="998"/>
    <w:rPr>
      <w:sz w:val="20"/>
      <w:szCs w:val="20"/>
    </w:rPr>
  </w:style>
  <w:style w:type="paragraph" w:styleId="1046" w:customStyle="1">
    <w:name w:val="Шапка 1"/>
    <w:basedOn w:val="960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1047" w:customStyle="1">
    <w:name w:val="Шапка 2"/>
    <w:basedOn w:val="960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48" w:customStyle="1">
    <w:name w:val="Шапка 3"/>
    <w:basedOn w:val="960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49" w:customStyle="1">
    <w:name w:val="Название1"/>
    <w:basedOn w:val="960"/>
    <w:link w:val="986"/>
    <w:uiPriority w:val="10"/>
    <w:qFormat/>
    <w:pPr>
      <w:jc w:val="center"/>
    </w:pPr>
    <w:rPr>
      <w:szCs w:val="20"/>
    </w:rPr>
  </w:style>
  <w:style w:type="paragraph" w:styleId="1050">
    <w:name w:val="Колонтитул"/>
    <w:basedOn w:val="960"/>
    <w:qFormat/>
  </w:style>
  <w:style w:type="paragraph" w:styleId="1051">
    <w:name w:val="Header"/>
    <w:basedOn w:val="960"/>
    <w:link w:val="1005"/>
    <w:pPr>
      <w:tabs>
        <w:tab w:val="clear" w:pos="720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52">
    <w:name w:val="Body Text Indent"/>
    <w:basedOn w:val="960"/>
    <w:pPr>
      <w:ind w:left="360" w:firstLine="0"/>
    </w:pPr>
    <w:rPr>
      <w:sz w:val="24"/>
      <w:szCs w:val="24"/>
    </w:rPr>
  </w:style>
  <w:style w:type="paragraph" w:styleId="1053">
    <w:name w:val="Footer"/>
    <w:basedOn w:val="960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1054">
    <w:name w:val="Body Text Indent 2"/>
    <w:basedOn w:val="960"/>
    <w:qFormat/>
    <w:pPr>
      <w:ind w:left="283" w:firstLine="0"/>
      <w:spacing w:before="0" w:after="120" w:line="480" w:lineRule="auto"/>
    </w:pPr>
  </w:style>
  <w:style w:type="paragraph" w:styleId="1055">
    <w:name w:val="Body Text 3"/>
    <w:basedOn w:val="960"/>
    <w:qFormat/>
    <w:pPr>
      <w:spacing w:before="0" w:after="120"/>
    </w:pPr>
    <w:rPr>
      <w:sz w:val="16"/>
      <w:szCs w:val="16"/>
    </w:rPr>
  </w:style>
  <w:style w:type="paragraph" w:styleId="1056">
    <w:name w:val="Body Text Indent 3"/>
    <w:basedOn w:val="960"/>
    <w:qFormat/>
    <w:pPr>
      <w:ind w:left="283" w:firstLine="0"/>
      <w:spacing w:before="0" w:after="120"/>
    </w:pPr>
    <w:rPr>
      <w:sz w:val="16"/>
      <w:szCs w:val="16"/>
    </w:rPr>
  </w:style>
  <w:style w:type="paragraph" w:styleId="1057">
    <w:name w:val="Body Text 2"/>
    <w:basedOn w:val="960"/>
    <w:qFormat/>
    <w:pPr>
      <w:spacing w:before="0" w:after="120" w:line="480" w:lineRule="auto"/>
    </w:pPr>
  </w:style>
  <w:style w:type="paragraph" w:styleId="1058">
    <w:name w:val="Block Text"/>
    <w:basedOn w:val="960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1059" w:customStyle="1">
    <w:name w:val="Подпункт"/>
    <w:basedOn w:val="960"/>
    <w:link w:val="997"/>
    <w:qFormat/>
    <w:pPr>
      <w:ind w:left="1134" w:hanging="1134"/>
      <w:jc w:val="both"/>
      <w:spacing w:line="360" w:lineRule="auto"/>
      <w:tabs>
        <w:tab w:val="clear" w:pos="720" w:leader="none"/>
        <w:tab w:val="left" w:pos="1134" w:leader="none"/>
      </w:tabs>
    </w:pPr>
    <w:rPr>
      <w:szCs w:val="20"/>
    </w:rPr>
  </w:style>
  <w:style w:type="paragraph" w:styleId="1060" w:customStyle="1">
    <w:name w:val="Пункт2"/>
    <w:basedOn w:val="960"/>
    <w:link w:val="1010"/>
    <w:qFormat/>
    <w:pPr>
      <w:ind w:left="1134" w:hanging="1134"/>
      <w:keepNext/>
      <w:spacing w:before="240" w:after="120"/>
      <w:tabs>
        <w:tab w:val="clear" w:pos="720" w:leader="none"/>
        <w:tab w:val="left" w:pos="1134" w:leader="none"/>
      </w:tabs>
      <w:outlineLvl w:val="2"/>
    </w:pPr>
    <w:rPr>
      <w:b/>
      <w:szCs w:val="20"/>
    </w:rPr>
  </w:style>
  <w:style w:type="paragraph" w:styleId="1061">
    <w:name w:val="toc 1"/>
    <w:basedOn w:val="960"/>
    <w:next w:val="960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1062">
    <w:name w:val="toc 3"/>
    <w:basedOn w:val="960"/>
    <w:next w:val="960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1063" w:customStyle="1">
    <w:name w:val="Раздел регламента"/>
    <w:basedOn w:val="960"/>
    <w:qFormat/>
  </w:style>
  <w:style w:type="paragraph" w:styleId="1064" w:customStyle="1">
    <w:name w:val="Приложение к регламенту"/>
    <w:basedOn w:val="960"/>
    <w:qFormat/>
    <w:pPr>
      <w:jc w:val="right"/>
    </w:pPr>
  </w:style>
  <w:style w:type="paragraph" w:styleId="1065">
    <w:name w:val="toc 2"/>
    <w:basedOn w:val="960"/>
    <w:next w:val="960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1066">
    <w:name w:val="Balloon Text"/>
    <w:basedOn w:val="960"/>
    <w:semiHidden/>
    <w:qFormat/>
    <w:rPr>
      <w:rFonts w:ascii="Tahoma" w:hAnsi="Tahoma" w:cs="Tahoma"/>
      <w:sz w:val="16"/>
      <w:szCs w:val="16"/>
    </w:rPr>
  </w:style>
  <w:style w:type="paragraph" w:styleId="1067">
    <w:name w:val="annotation text"/>
    <w:basedOn w:val="960"/>
    <w:link w:val="1006"/>
    <w:qFormat/>
    <w:rPr>
      <w:sz w:val="20"/>
      <w:szCs w:val="20"/>
    </w:rPr>
  </w:style>
  <w:style w:type="paragraph" w:styleId="1068">
    <w:name w:val="annotation subject"/>
    <w:basedOn w:val="1067"/>
    <w:next w:val="1067"/>
    <w:semiHidden/>
    <w:qFormat/>
    <w:rPr>
      <w:b/>
      <w:bCs/>
    </w:rPr>
  </w:style>
  <w:style w:type="paragraph" w:styleId="1069" w:customStyle="1">
    <w:name w:val="Обычный (веб)1"/>
    <w:basedOn w:val="960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1070">
    <w:name w:val="toc 9"/>
    <w:basedOn w:val="960"/>
    <w:next w:val="960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71">
    <w:name w:val="toc 5"/>
    <w:basedOn w:val="960"/>
    <w:next w:val="960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72">
    <w:name w:val="toc 4"/>
    <w:basedOn w:val="960"/>
    <w:next w:val="960"/>
    <w:uiPriority w:val="39"/>
    <w:pPr>
      <w:ind w:left="560" w:firstLine="0"/>
    </w:pPr>
    <w:rPr>
      <w:rFonts w:ascii="Times New Roman" w:hAnsi="Times New Roman" w:cs="Calibri" w:cstheme="minorHAnsi"/>
      <w:i w:val="0"/>
      <w:iCs w:val="0"/>
      <w:sz w:val="20"/>
      <w:szCs w:val="20"/>
    </w:rPr>
  </w:style>
  <w:style w:type="paragraph" w:styleId="1073" w:customStyle="1">
    <w:name w:val="Раздел положения 2"/>
    <w:basedOn w:val="960"/>
    <w:qFormat/>
    <w:pPr>
      <w:jc w:val="both"/>
      <w:pageBreakBefore/>
      <w:outlineLvl w:val="0"/>
    </w:pPr>
    <w:rPr>
      <w:b/>
    </w:rPr>
  </w:style>
  <w:style w:type="paragraph" w:styleId="1074" w:customStyle="1">
    <w:name w:val="Знак Знак Знак Знак Знак Знак Знак Знак Знак"/>
    <w:basedOn w:val="960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5">
    <w:name w:val="No Spacing"/>
    <w:basedOn w:val="96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76">
    <w:name w:val="caption1"/>
    <w:basedOn w:val="960"/>
    <w:next w:val="960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1077">
    <w:name w:val="Subtitle"/>
    <w:basedOn w:val="960"/>
    <w:next w:val="960"/>
    <w:link w:val="98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78">
    <w:name w:val="List Paragraph"/>
    <w:basedOn w:val="960"/>
    <w:link w:val="1001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1079">
    <w:name w:val="Quote"/>
    <w:basedOn w:val="960"/>
    <w:next w:val="960"/>
    <w:link w:val="98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80">
    <w:name w:val="Intense Quote"/>
    <w:basedOn w:val="960"/>
    <w:next w:val="960"/>
    <w:link w:val="990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81">
    <w:name w:val="Index Heading"/>
    <w:basedOn w:val="1037"/>
  </w:style>
  <w:style w:type="paragraph" w:styleId="1082">
    <w:name w:val="TOC Heading"/>
    <w:basedOn w:val="961"/>
    <w:next w:val="960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083">
    <w:name w:val="E-mail Signature"/>
    <w:basedOn w:val="960"/>
    <w:link w:val="996"/>
    <w:uiPriority w:val="99"/>
    <w:unhideWhenUsed/>
    <w:qFormat/>
    <w:rPr>
      <w:rFonts w:eastAsia="Calibri"/>
      <w:sz w:val="24"/>
      <w:szCs w:val="24"/>
    </w:rPr>
  </w:style>
  <w:style w:type="paragraph" w:styleId="1084" w:customStyle="1">
    <w:name w:val="Знак"/>
    <w:basedOn w:val="960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5" w:customStyle="1">
    <w:name w:val="Нумерованный список ур3"/>
    <w:basedOn w:val="960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6" w:customStyle="1">
    <w:name w:val="List Bullet 4"/>
    <w:basedOn w:val="960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87" w:customStyle="1">
    <w:name w:val="Нумерованный список ур2"/>
    <w:basedOn w:val="960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88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1089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090" w:customStyle="1">
    <w:name w:val="Знак Знак3 Знак Знак"/>
    <w:basedOn w:val="960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91" w:customStyle="1">
    <w:name w:val="Пункт"/>
    <w:basedOn w:val="960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20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092" w:customStyle="1">
    <w:name w:val="Абзац списка1"/>
    <w:basedOn w:val="960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93" w:customStyle="1">
    <w:name w:val="Таблица"/>
    <w:basedOn w:val="96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94" w:customStyle="1">
    <w:name w:val="Таблица шапка"/>
    <w:basedOn w:val="960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1095" w:customStyle="1">
    <w:name w:val="Подподпункт"/>
    <w:basedOn w:val="1059"/>
    <w:link w:val="1003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1096" w:customStyle="1">
    <w:name w:val="УРОВЕНЬ_(а)"/>
    <w:basedOn w:val="1078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97" w:customStyle="1">
    <w:name w:val="УРОВЕНЬ_-"/>
    <w:basedOn w:val="1078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98" w:customStyle="1">
    <w:name w:val="УРОВЕНЬ_Абзац_тип2"/>
    <w:basedOn w:val="1078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99" w:customStyle="1">
    <w:name w:val="УРОВЕНЬ_Абзац_тип3"/>
    <w:basedOn w:val="1078"/>
    <w:link w:val="100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100" w:customStyle="1">
    <w:name w:val="УРОВЕНЬ_Подпись"/>
    <w:basedOn w:val="1078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101" w:customStyle="1">
    <w:name w:val="Стиль Заголовок 1 + по ширине"/>
    <w:basedOn w:val="961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20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102">
    <w:name w:val="endnote text"/>
    <w:basedOn w:val="960"/>
    <w:link w:val="1007"/>
    <w:rPr>
      <w:sz w:val="20"/>
      <w:szCs w:val="20"/>
    </w:rPr>
  </w:style>
  <w:style w:type="paragraph" w:styleId="1103" w:customStyle="1">
    <w:name w:val="Заголовок 2 КВВ"/>
    <w:basedOn w:val="960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104" w:customStyle="1">
    <w:name w:val="Таблица текст"/>
    <w:basedOn w:val="960"/>
    <w:qFormat/>
    <w:pPr>
      <w:ind w:left="57" w:right="57" w:firstLine="0"/>
      <w:spacing w:before="40" w:after="40"/>
    </w:pPr>
    <w:rPr>
      <w:sz w:val="24"/>
      <w:szCs w:val="26"/>
    </w:rPr>
  </w:style>
  <w:style w:type="paragraph" w:styleId="1105">
    <w:name w:val="Normal (Web)"/>
    <w:basedOn w:val="960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06" w:customStyle="1">
    <w:name w:val="УРОВЕНЬ_1."/>
    <w:basedOn w:val="1078"/>
    <w:link w:val="1011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107">
    <w:name w:val="toc 6"/>
    <w:basedOn w:val="960"/>
    <w:next w:val="960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08">
    <w:name w:val="toc 7"/>
    <w:basedOn w:val="960"/>
    <w:next w:val="960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09">
    <w:name w:val="toc 8"/>
    <w:basedOn w:val="960"/>
    <w:next w:val="960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10">
    <w:name w:val="Содержимое врезки"/>
    <w:basedOn w:val="960"/>
    <w:qFormat/>
  </w:style>
  <w:style w:type="paragraph" w:styleId="1111">
    <w:name w:val="Содержимое таблицы"/>
    <w:basedOn w:val="960"/>
    <w:qFormat/>
    <w:pPr>
      <w:widowControl w:val="off"/>
      <w:suppressLineNumbers/>
    </w:pPr>
  </w:style>
  <w:style w:type="paragraph" w:styleId="1112">
    <w:name w:val="Заголовок таблицы"/>
    <w:basedOn w:val="1111"/>
    <w:qFormat/>
    <w:pPr>
      <w:jc w:val="center"/>
      <w:suppressLineNumbers/>
    </w:pPr>
    <w:rPr>
      <w:b/>
      <w:bCs/>
    </w:rPr>
  </w:style>
  <w:style w:type="paragraph" w:styleId="1113">
    <w:name w:val="Standard"/>
    <w:basedOn w:val="960"/>
    <w:qFormat/>
    <w:pPr>
      <w:ind w:firstLine="567"/>
    </w:pPr>
    <w:rPr>
      <w:rFonts w:eastAsia="Calibri"/>
      <w:szCs w:val="28"/>
    </w:rPr>
  </w:style>
  <w:style w:type="paragraph" w:styleId="1114">
    <w:name w:val="Table_header"/>
    <w:basedOn w:val="960"/>
    <w:qFormat/>
    <w:pPr>
      <w:ind w:firstLine="0"/>
      <w:spacing w:before="120" w:beforeAutospacing="0" w:after="0" w:afterAutospacing="0" w:line="240" w:lineRule="exact"/>
    </w:pPr>
    <w:rPr>
      <w:b/>
      <w:sz w:val="20"/>
    </w:rPr>
  </w:style>
  <w:style w:type="paragraph" w:styleId="1115">
    <w:name w:val="Table_text"/>
    <w:basedOn w:val="960"/>
    <w:qFormat/>
    <w:pPr>
      <w:ind w:firstLine="0"/>
      <w:spacing w:line="240" w:lineRule="exact"/>
    </w:pPr>
    <w:rPr>
      <w:sz w:val="20"/>
    </w:rPr>
  </w:style>
  <w:style w:type="paragraph" w:styleId="1116">
    <w:name w:val="Средняя сетка 1 - Акцент 21"/>
    <w:basedOn w:val="960"/>
    <w:qFormat/>
    <w:pPr>
      <w:contextualSpacing/>
      <w:ind w:left="720" w:firstLine="0"/>
      <w:spacing w:before="0" w:beforeAutospacing="0" w:after="0" w:afterAutospacing="0"/>
    </w:pPr>
  </w:style>
  <w:style w:type="paragraph" w:styleId="1117">
    <w:name w:val="table of figures"/>
    <w:basedOn w:val="960"/>
    <w:next w:val="960"/>
    <w:qFormat/>
    <w:pPr>
      <w:ind w:firstLine="567"/>
    </w:pPr>
  </w:style>
  <w:style w:type="numbering" w:styleId="1118" w:default="1">
    <w:name w:val="No List"/>
    <w:uiPriority w:val="99"/>
    <w:semiHidden/>
    <w:unhideWhenUsed/>
    <w:qFormat/>
  </w:style>
  <w:style w:type="numbering" w:styleId="1119" w:customStyle="1">
    <w:name w:val="Стиль1"/>
    <w:uiPriority w:val="99"/>
    <w:qFormat/>
  </w:style>
  <w:style w:type="numbering" w:styleId="1120" w:customStyle="1">
    <w:name w:val="Стиль2"/>
    <w:uiPriority w:val="99"/>
    <w:qFormat/>
  </w:style>
  <w:style w:type="table" w:styleId="112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22">
    <w:name w:val="Table Grid"/>
    <w:basedOn w:val="112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23" w:customStyle="1">
    <w:name w:val="Сетка таблицы1"/>
    <w:basedOn w:val="112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Relationship Id="rId17" Type="http://schemas.openxmlformats.org/officeDocument/2006/relationships/hyperlink" Target="http://www.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429C3-1F79-4F0A-990A-76A7E86E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evstratenko_av</cp:lastModifiedBy>
  <cp:revision>95</cp:revision>
  <dcterms:modified xsi:type="dcterms:W3CDTF">2026-06-14T23:18:50Z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